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717" w:beforeLines="550"/>
        <w:jc w:val="center"/>
        <w:textAlignment w:val="auto"/>
        <w:rPr>
          <w:rFonts w:hint="eastAsia" w:ascii="方正小标宋简体" w:hAnsi="方正小标宋简体" w:eastAsia="方正小标宋简体" w:cs="方正小标宋简体"/>
          <w:color w:val="FF0000"/>
          <w:spacing w:val="79"/>
          <w:w w:val="72"/>
          <w:sz w:val="100"/>
          <w:szCs w:val="100"/>
          <w:lang w:val="en-US" w:eastAsia="zh-CN"/>
        </w:rPr>
      </w:pPr>
      <w:r>
        <w:rPr>
          <w:rFonts w:hint="eastAsia" w:ascii="方正小标宋简体" w:hAnsi="方正小标宋简体" w:eastAsia="方正小标宋简体" w:cs="方正小标宋简体"/>
          <w:b/>
          <w:bCs/>
          <w:color w:val="FF0000"/>
          <w:spacing w:val="79"/>
          <w:w w:val="72"/>
          <w:sz w:val="110"/>
          <w:szCs w:val="110"/>
          <w:lang w:val="en-US" w:eastAsia="zh-CN"/>
        </w:rPr>
        <w:t>合</w:t>
      </w:r>
      <w:r>
        <w:rPr>
          <w:rFonts w:hint="eastAsia" w:ascii="方正小标宋简体" w:hAnsi="方正小标宋简体" w:eastAsia="方正小标宋简体" w:cs="方正小标宋简体"/>
          <w:b/>
          <w:bCs/>
          <w:color w:val="FF0000"/>
          <w:spacing w:val="-147"/>
          <w:w w:val="72"/>
          <w:sz w:val="110"/>
          <w:szCs w:val="110"/>
          <w:lang w:val="en-US" w:eastAsia="zh-CN"/>
        </w:rPr>
        <w:t xml:space="preserve"> </w:t>
      </w:r>
      <w:r>
        <w:rPr>
          <w:rFonts w:hint="eastAsia" w:ascii="方正小标宋简体" w:hAnsi="方正小标宋简体" w:eastAsia="方正小标宋简体" w:cs="方正小标宋简体"/>
          <w:b/>
          <w:bCs/>
          <w:color w:val="FF0000"/>
          <w:spacing w:val="79"/>
          <w:w w:val="72"/>
          <w:sz w:val="110"/>
          <w:szCs w:val="110"/>
          <w:lang w:val="en-US" w:eastAsia="zh-CN"/>
        </w:rPr>
        <w:t>肥</w:t>
      </w:r>
      <w:r>
        <w:rPr>
          <w:rFonts w:hint="eastAsia" w:ascii="方正小标宋简体" w:hAnsi="方正小标宋简体" w:eastAsia="方正小标宋简体" w:cs="方正小标宋简体"/>
          <w:b/>
          <w:bCs/>
          <w:color w:val="FF0000"/>
          <w:spacing w:val="-147"/>
          <w:w w:val="72"/>
          <w:sz w:val="110"/>
          <w:szCs w:val="110"/>
          <w:lang w:val="en-US" w:eastAsia="zh-CN"/>
        </w:rPr>
        <w:t xml:space="preserve"> </w:t>
      </w:r>
      <w:r>
        <w:rPr>
          <w:rFonts w:hint="eastAsia" w:ascii="方正小标宋简体" w:hAnsi="方正小标宋简体" w:eastAsia="方正小标宋简体" w:cs="方正小标宋简体"/>
          <w:b/>
          <w:bCs/>
          <w:color w:val="FF0000"/>
          <w:spacing w:val="79"/>
          <w:w w:val="72"/>
          <w:sz w:val="110"/>
          <w:szCs w:val="110"/>
          <w:lang w:val="en-US" w:eastAsia="zh-CN"/>
        </w:rPr>
        <w:t>城</w:t>
      </w:r>
      <w:r>
        <w:rPr>
          <w:rFonts w:hint="eastAsia" w:ascii="方正小标宋简体" w:hAnsi="方正小标宋简体" w:eastAsia="方正小标宋简体" w:cs="方正小标宋简体"/>
          <w:b/>
          <w:bCs/>
          <w:color w:val="FF0000"/>
          <w:spacing w:val="-147"/>
          <w:w w:val="72"/>
          <w:sz w:val="110"/>
          <w:szCs w:val="110"/>
          <w:lang w:val="en-US" w:eastAsia="zh-CN"/>
        </w:rPr>
        <w:t xml:space="preserve"> </w:t>
      </w:r>
      <w:r>
        <w:rPr>
          <w:rFonts w:hint="eastAsia" w:ascii="方正小标宋简体" w:hAnsi="方正小标宋简体" w:eastAsia="方正小标宋简体" w:cs="方正小标宋简体"/>
          <w:b/>
          <w:bCs/>
          <w:color w:val="FF0000"/>
          <w:spacing w:val="79"/>
          <w:w w:val="72"/>
          <w:sz w:val="110"/>
          <w:szCs w:val="110"/>
          <w:lang w:val="en-US" w:eastAsia="zh-CN"/>
        </w:rPr>
        <w:t>市</w:t>
      </w:r>
      <w:r>
        <w:rPr>
          <w:rFonts w:hint="eastAsia" w:ascii="方正小标宋简体" w:hAnsi="方正小标宋简体" w:eastAsia="方正小标宋简体" w:cs="方正小标宋简体"/>
          <w:b/>
          <w:bCs/>
          <w:color w:val="FF0000"/>
          <w:spacing w:val="-147"/>
          <w:w w:val="72"/>
          <w:sz w:val="110"/>
          <w:szCs w:val="110"/>
          <w:lang w:val="en-US" w:eastAsia="zh-CN"/>
        </w:rPr>
        <w:t xml:space="preserve"> </w:t>
      </w:r>
      <w:r>
        <w:rPr>
          <w:rFonts w:hint="eastAsia" w:ascii="方正小标宋简体" w:hAnsi="方正小标宋简体" w:eastAsia="方正小标宋简体" w:cs="方正小标宋简体"/>
          <w:b/>
          <w:bCs/>
          <w:color w:val="FF0000"/>
          <w:spacing w:val="79"/>
          <w:w w:val="72"/>
          <w:sz w:val="110"/>
          <w:szCs w:val="110"/>
          <w:lang w:val="en-US" w:eastAsia="zh-CN"/>
        </w:rPr>
        <w:t>学</w:t>
      </w:r>
      <w:r>
        <w:rPr>
          <w:rFonts w:hint="eastAsia" w:ascii="方正小标宋简体" w:hAnsi="方正小标宋简体" w:eastAsia="方正小标宋简体" w:cs="方正小标宋简体"/>
          <w:b/>
          <w:bCs/>
          <w:color w:val="FF0000"/>
          <w:spacing w:val="-147"/>
          <w:w w:val="72"/>
          <w:sz w:val="110"/>
          <w:szCs w:val="110"/>
          <w:lang w:val="en-US" w:eastAsia="zh-CN"/>
        </w:rPr>
        <w:t xml:space="preserve"> </w:t>
      </w:r>
      <w:r>
        <w:rPr>
          <w:rFonts w:hint="eastAsia" w:ascii="方正小标宋简体" w:hAnsi="方正小标宋简体" w:eastAsia="方正小标宋简体" w:cs="方正小标宋简体"/>
          <w:b/>
          <w:bCs/>
          <w:color w:val="FF0000"/>
          <w:spacing w:val="79"/>
          <w:w w:val="72"/>
          <w:sz w:val="110"/>
          <w:szCs w:val="110"/>
          <w:lang w:val="en-US" w:eastAsia="zh-CN"/>
        </w:rPr>
        <w:t>院</w:t>
      </w:r>
      <w:r>
        <w:rPr>
          <w:rFonts w:hint="eastAsia" w:ascii="方正小标宋简体" w:hAnsi="方正小标宋简体" w:eastAsia="方正小标宋简体" w:cs="方正小标宋简体"/>
          <w:b/>
          <w:bCs/>
          <w:color w:val="FF0000"/>
          <w:spacing w:val="-147"/>
          <w:w w:val="72"/>
          <w:sz w:val="110"/>
          <w:szCs w:val="110"/>
          <w:lang w:val="en-US" w:eastAsia="zh-CN"/>
        </w:rPr>
        <w:t xml:space="preserve"> </w:t>
      </w:r>
      <w:r>
        <w:rPr>
          <w:rFonts w:hint="eastAsia" w:ascii="方正小标宋简体" w:hAnsi="方正小标宋简体" w:eastAsia="方正小标宋简体" w:cs="方正小标宋简体"/>
          <w:b/>
          <w:bCs/>
          <w:color w:val="FF0000"/>
          <w:spacing w:val="79"/>
          <w:w w:val="72"/>
          <w:sz w:val="110"/>
          <w:szCs w:val="110"/>
          <w:lang w:val="en-US" w:eastAsia="zh-CN"/>
        </w:rPr>
        <w:t>文</w:t>
      </w:r>
      <w:r>
        <w:rPr>
          <w:rFonts w:hint="eastAsia" w:ascii="方正小标宋简体" w:hAnsi="方正小标宋简体" w:eastAsia="方正小标宋简体" w:cs="方正小标宋简体"/>
          <w:b/>
          <w:bCs/>
          <w:color w:val="FF0000"/>
          <w:spacing w:val="-147"/>
          <w:w w:val="72"/>
          <w:sz w:val="110"/>
          <w:szCs w:val="110"/>
          <w:lang w:val="en-US" w:eastAsia="zh-CN"/>
        </w:rPr>
        <w:t xml:space="preserve"> </w:t>
      </w:r>
      <w:r>
        <w:rPr>
          <w:rFonts w:hint="eastAsia" w:ascii="方正小标宋简体" w:hAnsi="方正小标宋简体" w:eastAsia="方正小标宋简体" w:cs="方正小标宋简体"/>
          <w:b/>
          <w:bCs/>
          <w:color w:val="FF0000"/>
          <w:spacing w:val="79"/>
          <w:w w:val="72"/>
          <w:sz w:val="110"/>
          <w:szCs w:val="110"/>
          <w:lang w:val="en-US" w:eastAsia="zh-CN"/>
        </w:rPr>
        <w:t>件</w:t>
      </w:r>
    </w:p>
    <w:p>
      <w:pPr>
        <w:keepNext w:val="0"/>
        <w:keepLines w:val="0"/>
        <w:pageBreakBefore w:val="0"/>
        <w:widowControl w:val="0"/>
        <w:kinsoku/>
        <w:wordWrap/>
        <w:overflowPunct/>
        <w:topLinePunct w:val="0"/>
        <w:autoSpaceDE/>
        <w:autoSpaceDN/>
        <w:bidi w:val="0"/>
        <w:adjustRightInd/>
        <w:snapToGrid/>
        <w:spacing w:after="313" w:afterLines="100" w:line="500" w:lineRule="exact"/>
        <w:jc w:val="center"/>
        <w:textAlignment w:val="auto"/>
        <w:rPr>
          <w:rFonts w:hint="default"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lang w:val="en-US" w:eastAsia="zh-CN"/>
        </w:rPr>
        <w:t>校字〔2022〕124号</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b w:val="0"/>
          <w:bCs w:val="0"/>
          <w:color w:val="auto"/>
          <w:spacing w:val="0"/>
          <w:sz w:val="44"/>
          <w:szCs w:val="44"/>
          <w:lang w:val="en-US" w:eastAsia="zh-CN"/>
        </w:rPr>
      </w:pPr>
      <w:r>
        <w:rPr>
          <w:rFonts w:hint="eastAsia" w:ascii="仿宋_GB2312" w:hAnsi="仿宋_GB2312" w:eastAsia="仿宋_GB2312" w:cs="仿宋_GB2312"/>
          <w:color w:val="auto"/>
          <w:sz w:val="32"/>
          <w:szCs w:val="32"/>
        </w:rPr>
        <mc:AlternateContent>
          <mc:Choice Requires="wps">
            <w:drawing>
              <wp:anchor distT="0" distB="0" distL="114300" distR="114300" simplePos="0" relativeHeight="251660288" behindDoc="0" locked="0" layoutInCell="1" allowOverlap="1">
                <wp:simplePos x="0" y="0"/>
                <wp:positionH relativeFrom="column">
                  <wp:posOffset>-20955</wp:posOffset>
                </wp:positionH>
                <wp:positionV relativeFrom="paragraph">
                  <wp:posOffset>119380</wp:posOffset>
                </wp:positionV>
                <wp:extent cx="5647690" cy="5080"/>
                <wp:effectExtent l="0" t="19050" r="10160" b="33020"/>
                <wp:wrapNone/>
                <wp:docPr id="2" name="直接连接符 1"/>
                <wp:cNvGraphicFramePr/>
                <a:graphic xmlns:a="http://schemas.openxmlformats.org/drawingml/2006/main">
                  <a:graphicData uri="http://schemas.microsoft.com/office/word/2010/wordprocessingShape">
                    <wps:wsp>
                      <wps:cNvCnPr/>
                      <wps:spPr>
                        <a:xfrm>
                          <a:off x="0" y="0"/>
                          <a:ext cx="5647690" cy="5080"/>
                        </a:xfrm>
                        <a:prstGeom prst="line">
                          <a:avLst/>
                        </a:prstGeom>
                        <a:ln w="38100" cap="flat" cmpd="sng">
                          <a:solidFill>
                            <a:srgbClr val="FF0000"/>
                          </a:solidFill>
                          <a:prstDash val="solid"/>
                          <a:miter/>
                          <a:headEnd type="none" w="med" len="med"/>
                          <a:tailEnd type="none" w="med" len="med"/>
                        </a:ln>
                      </wps:spPr>
                      <wps:bodyPr/>
                    </wps:wsp>
                  </a:graphicData>
                </a:graphic>
              </wp:anchor>
            </w:drawing>
          </mc:Choice>
          <mc:Fallback>
            <w:pict>
              <v:line id="直接连接符 1" o:spid="_x0000_s1026" o:spt="20" style="position:absolute;left:0pt;margin-left:-1.65pt;margin-top:9.4pt;height:0.4pt;width:444.7pt;z-index:251660288;mso-width-relative:page;mso-height-relative:page;" filled="f" stroked="t" coordsize="21600,21600" o:gfxdata="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sANr2tUAAAAIAQAADwAAAAAAAAABACAAAAAiAAAAZHJzL2Rvd25yZXYueG1sUEsB&#10;AhQAFAAAAAgAh07iQBGRhtb4AQAA5gMAAA4AAAAAAAAAAQAgAAAAJAEAAGRycy9lMm9Eb2MueG1s&#10;UEsFBgAAAAAGAAYAWQEAAI4FAAAAAA==&#10;">
                <v:fill on="f" focussize="0,0"/>
                <v:stroke weight="3pt" color="#FF0000"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b w:val="0"/>
          <w:bCs w:val="0"/>
          <w:color w:val="auto"/>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b w:val="0"/>
          <w:bCs w:val="0"/>
          <w:color w:val="auto"/>
          <w:spacing w:val="0"/>
          <w:sz w:val="44"/>
          <w:szCs w:val="44"/>
          <w:lang w:val="en-US" w:eastAsia="zh-CN"/>
        </w:rPr>
      </w:pPr>
      <w:r>
        <w:rPr>
          <w:rFonts w:hint="eastAsia" w:ascii="仿宋_GB2312" w:hAnsi="仿宋_GB2312" w:eastAsia="仿宋_GB2312" w:cs="仿宋_GB2312"/>
          <w:color w:val="auto"/>
          <w:sz w:val="32"/>
          <w:szCs w:val="32"/>
        </w:rPr>
        <mc:AlternateContent>
          <mc:Choice Requires="wps">
            <w:drawing>
              <wp:anchor distT="0" distB="0" distL="114300" distR="114300" simplePos="0" relativeHeight="251661312" behindDoc="0" locked="0" layoutInCell="1" allowOverlap="1">
                <wp:simplePos x="0" y="0"/>
                <wp:positionH relativeFrom="column">
                  <wp:posOffset>-13970</wp:posOffset>
                </wp:positionH>
                <wp:positionV relativeFrom="paragraph">
                  <wp:posOffset>119380</wp:posOffset>
                </wp:positionV>
                <wp:extent cx="5647690" cy="5080"/>
                <wp:effectExtent l="0" t="19050" r="10160" b="33020"/>
                <wp:wrapNone/>
                <wp:docPr id="1" name="直接连接符 1"/>
                <wp:cNvGraphicFramePr/>
                <a:graphic xmlns:a="http://schemas.openxmlformats.org/drawingml/2006/main">
                  <a:graphicData uri="http://schemas.microsoft.com/office/word/2010/wordprocessingShape">
                    <wps:wsp>
                      <wps:cNvCnPr/>
                      <wps:spPr>
                        <a:xfrm>
                          <a:off x="0" y="0"/>
                          <a:ext cx="5647690" cy="5080"/>
                        </a:xfrm>
                        <a:prstGeom prst="line">
                          <a:avLst/>
                        </a:prstGeom>
                        <a:ln w="38100" cap="flat" cmpd="sng">
                          <a:solidFill>
                            <a:srgbClr val="FFFFFF"/>
                          </a:solidFill>
                          <a:prstDash val="solid"/>
                          <a:miter/>
                          <a:headEnd type="none" w="med" len="med"/>
                          <a:tailEnd type="none" w="med" len="med"/>
                        </a:ln>
                      </wps:spPr>
                      <wps:bodyPr/>
                    </wps:wsp>
                  </a:graphicData>
                </a:graphic>
              </wp:anchor>
            </w:drawing>
          </mc:Choice>
          <mc:Fallback>
            <w:pict>
              <v:line id="_x0000_s1026" o:spid="_x0000_s1026" o:spt="20" style="position:absolute;left:0pt;margin-left:-1.1pt;margin-top:9.4pt;height:0.4pt;width:444.7pt;z-index:251661312;mso-width-relative:page;mso-height-relative:page;" filled="f" stroked="t" coordsize="21600,21600" o:gfxdata="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iuqwJ9cAAAAIAQAADwAAAAAAAAABACAAAAAiAAAAZHJzL2Rvd25yZXYueG1sUEsB&#10;AhQAFAAAAAgAh07iQJq/ftT2AQAA5gMAAA4AAAAAAAAAAQAgAAAAJgEAAGRycy9lMm9Eb2MueG1s&#10;UEsFBgAAAAAGAAYAWQEAAI4FAAAAAA==&#10;">
                <v:fill on="f" focussize="0,0"/>
                <v:stroke weight="3pt" color="#FFFFFF"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b w:val="0"/>
          <w:bCs w:val="0"/>
          <w:color w:val="auto"/>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方正大标宋简体" w:hAnsi="方正大标宋简体" w:eastAsia="方正大标宋简体" w:cs="方正大标宋简体"/>
          <w:b/>
          <w:bCs/>
          <w:sz w:val="44"/>
          <w:szCs w:val="44"/>
          <w:highlight w:val="none"/>
          <w:lang w:val="en-US" w:eastAsia="zh-CN"/>
        </w:rPr>
      </w:pPr>
      <w:r>
        <w:rPr>
          <w:rFonts w:hint="eastAsia" w:ascii="方正小标宋简体" w:hAnsi="方正小标宋简体" w:eastAsia="方正小标宋简体" w:cs="方正小标宋简体"/>
          <w:b/>
          <w:bCs/>
          <w:sz w:val="44"/>
          <w:szCs w:val="44"/>
          <w:highlight w:val="none"/>
          <w:lang w:val="en-US" w:eastAsia="zh-CN"/>
        </w:rPr>
        <w:t>关于印发《合肥城市学院教师教学工作量管理及酬金计算办法》的通知</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校属各单位：</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《合肥城市学院教师教学工作量管理及酬金计算办法》业经校长办公会议审议通过，现予以印发，请遵照执行。</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附件：合肥城市学院教师教学工作量管理及酬金计算办法</w:t>
      </w:r>
    </w:p>
    <w:p>
      <w:pPr>
        <w:pStyle w:val="2"/>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val="en-US" w:eastAsia="zh-CN"/>
        </w:rPr>
      </w:pPr>
      <w:bookmarkStart w:id="0" w:name="_GoBack"/>
      <w:bookmarkEnd w:id="0"/>
    </w:p>
    <w:p>
      <w:pPr>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合肥城市学院</w:t>
      </w:r>
    </w:p>
    <w:p>
      <w:pPr>
        <w:keepNext w:val="0"/>
        <w:keepLines w:val="0"/>
        <w:pageBreakBefore w:val="0"/>
        <w:widowControl w:val="0"/>
        <w:kinsoku/>
        <w:wordWrap/>
        <w:overflowPunct/>
        <w:topLinePunct w:val="0"/>
        <w:autoSpaceDE/>
        <w:autoSpaceDN/>
        <w:bidi w:val="0"/>
        <w:adjustRightInd/>
        <w:snapToGrid/>
        <w:spacing w:line="560" w:lineRule="exact"/>
        <w:ind w:firstLine="645"/>
        <w:jc w:val="right"/>
        <w:textAlignment w:val="auto"/>
        <w:rPr>
          <w:rFonts w:hint="eastAsia" w:ascii="黑体" w:hAnsi="黑体" w:eastAsia="黑体" w:cs="黑体"/>
          <w:b w:val="0"/>
          <w:bCs w:val="0"/>
          <w:sz w:val="32"/>
          <w:szCs w:val="32"/>
          <w:lang w:val="en-US" w:eastAsia="zh-CN"/>
        </w:rPr>
      </w:pPr>
      <w:r>
        <w:rPr>
          <w:rFonts w:hint="eastAsia" w:ascii="仿宋" w:hAnsi="仿宋" w:eastAsia="仿宋" w:cs="仿宋"/>
          <w:sz w:val="32"/>
          <w:szCs w:val="32"/>
          <w:lang w:val="en-US" w:eastAsia="zh-CN"/>
        </w:rPr>
        <w:t xml:space="preserve">                               2022年11月5日</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w:t>
      </w:r>
    </w:p>
    <w:p>
      <w:pPr>
        <w:pStyle w:val="2"/>
        <w:keepNext/>
        <w:keepLines/>
        <w:pageBreakBefore w:val="0"/>
        <w:widowControl w:val="0"/>
        <w:kinsoku/>
        <w:wordWrap/>
        <w:overflowPunct/>
        <w:topLinePunct w:val="0"/>
        <w:autoSpaceDE/>
        <w:autoSpaceDN/>
        <w:bidi w:val="0"/>
        <w:adjustRightInd/>
        <w:snapToGrid/>
        <w:spacing w:line="3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color w:val="000000"/>
          <w:sz w:val="44"/>
          <w:szCs w:val="44"/>
        </w:rPr>
      </w:pPr>
      <w:r>
        <w:rPr>
          <w:rFonts w:hint="eastAsia" w:ascii="方正小标宋简体" w:hAnsi="方正小标宋简体" w:eastAsia="方正小标宋简体" w:cs="方正小标宋简体"/>
          <w:b/>
          <w:color w:val="000000"/>
          <w:sz w:val="44"/>
          <w:szCs w:val="44"/>
        </w:rPr>
        <w:t>合肥城市学院教师教学工作量管理及酬金</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eastAsia="仿宋_GB2312"/>
          <w:b/>
          <w:color w:val="000000"/>
          <w:sz w:val="32"/>
          <w:szCs w:val="32"/>
        </w:rPr>
      </w:pPr>
      <w:r>
        <w:rPr>
          <w:rFonts w:hint="eastAsia" w:ascii="方正小标宋简体" w:hAnsi="方正小标宋简体" w:eastAsia="方正小标宋简体" w:cs="方正小标宋简体"/>
          <w:b/>
          <w:color w:val="000000"/>
          <w:sz w:val="44"/>
          <w:szCs w:val="44"/>
        </w:rPr>
        <w:t>计算办法</w:t>
      </w:r>
    </w:p>
    <w:p>
      <w:pPr>
        <w:keepNext w:val="0"/>
        <w:keepLines w:val="0"/>
        <w:pageBreakBefore w:val="0"/>
        <w:widowControl w:val="0"/>
        <w:kinsoku/>
        <w:wordWrap/>
        <w:overflowPunct/>
        <w:topLinePunct w:val="0"/>
        <w:autoSpaceDE/>
        <w:autoSpaceDN/>
        <w:bidi w:val="0"/>
        <w:adjustRightInd/>
        <w:snapToGrid/>
        <w:spacing w:line="300" w:lineRule="exact"/>
        <w:ind w:firstLine="600" w:firstLineChars="200"/>
        <w:textAlignment w:val="auto"/>
        <w:rPr>
          <w:rFonts w:hint="eastAsia" w:ascii="仿宋_GB2312" w:hAnsi="宋体" w:eastAsia="仿宋_GB2312"/>
          <w:bCs/>
          <w:color w:val="000000"/>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为适应学校新的发展要求，充分调动广大教学人员的积极性、主动性和创造性，保证教学计划和教学任务的落实，持续提高教学质量和水平。结合我校实际，制定本办法。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一、实施对象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本办法实施对象为合肥城市学院聘用的校内在岗教师，不含外聘教师。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二、额定工作量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1．专职教师在一学年内应最少完成一定教学工作，称为额定教学工作量，专任教师额定教学工作量为：</w:t>
      </w:r>
    </w:p>
    <w:tbl>
      <w:tblPr>
        <w:tblStyle w:val="6"/>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768"/>
        <w:gridCol w:w="180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2"/>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教师类型</w:t>
            </w:r>
          </w:p>
        </w:tc>
        <w:tc>
          <w:tcPr>
            <w:tcW w:w="1768" w:type="dxa"/>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入职一年以内（且无职称）</w:t>
            </w:r>
          </w:p>
        </w:tc>
        <w:tc>
          <w:tcPr>
            <w:tcW w:w="1800" w:type="dxa"/>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入职第二年</w:t>
            </w:r>
          </w:p>
          <w:p>
            <w:pPr>
              <w:jc w:val="center"/>
              <w:rPr>
                <w:rFonts w:hint="eastAsia" w:ascii="仿宋_GB2312" w:hAnsi="宋体" w:eastAsia="仿宋_GB2312"/>
                <w:bCs/>
                <w:sz w:val="24"/>
              </w:rPr>
            </w:pPr>
            <w:r>
              <w:rPr>
                <w:rFonts w:hint="eastAsia" w:ascii="仿宋_GB2312" w:hAnsi="宋体" w:eastAsia="仿宋_GB2312"/>
                <w:bCs/>
                <w:sz w:val="24"/>
              </w:rPr>
              <w:t>（或初级职称）</w:t>
            </w:r>
          </w:p>
        </w:tc>
        <w:tc>
          <w:tcPr>
            <w:tcW w:w="2700" w:type="dxa"/>
            <w:noWrap w:val="0"/>
            <w:vAlign w:val="center"/>
          </w:tcPr>
          <w:p>
            <w:pPr>
              <w:jc w:val="center"/>
              <w:rPr>
                <w:rFonts w:hint="eastAsia" w:ascii="仿宋_GB2312" w:hAnsi="宋体" w:eastAsia="仿宋_GB2312"/>
                <w:bCs/>
                <w:sz w:val="24"/>
              </w:rPr>
            </w:pPr>
            <w:r>
              <w:rPr>
                <w:rFonts w:hint="eastAsia" w:ascii="仿宋_GB2312" w:hAnsi="宋体" w:eastAsia="仿宋_GB2312"/>
                <w:bCs/>
                <w:sz w:val="24"/>
              </w:rPr>
              <w:t>入职两年以上</w:t>
            </w:r>
          </w:p>
          <w:p>
            <w:pPr>
              <w:jc w:val="center"/>
              <w:rPr>
                <w:rFonts w:hint="eastAsia" w:ascii="仿宋_GB2312" w:hAnsi="宋体" w:eastAsia="仿宋_GB2312"/>
                <w:bCs/>
                <w:sz w:val="24"/>
              </w:rPr>
            </w:pPr>
            <w:r>
              <w:rPr>
                <w:rFonts w:hint="eastAsia" w:ascii="仿宋_GB2312" w:hAnsi="宋体" w:eastAsia="仿宋_GB2312"/>
                <w:bCs/>
                <w:sz w:val="24"/>
              </w:rPr>
              <w:t>（或中级及以上职称）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420" w:type="dxa"/>
            <w:vMerge w:val="restart"/>
            <w:noWrap w:val="0"/>
            <w:vAlign w:val="center"/>
          </w:tcPr>
          <w:p>
            <w:pPr>
              <w:jc w:val="center"/>
              <w:rPr>
                <w:rFonts w:hint="eastAsia" w:ascii="仿宋_GB2312" w:hAnsi="宋体" w:eastAsia="仿宋_GB2312"/>
                <w:bCs/>
                <w:sz w:val="28"/>
                <w:szCs w:val="28"/>
              </w:rPr>
            </w:pPr>
            <w:r>
              <w:rPr>
                <w:rFonts w:hint="eastAsia" w:ascii="仿宋_GB2312" w:hAnsi="宋体" w:eastAsia="仿宋_GB2312"/>
                <w:bCs/>
                <w:sz w:val="28"/>
                <w:szCs w:val="28"/>
              </w:rPr>
              <w:t>额定</w:t>
            </w:r>
            <w:r>
              <w:rPr>
                <w:rFonts w:hint="eastAsia" w:ascii="仿宋_GB2312" w:hAnsi="宋体" w:eastAsia="仿宋_GB2312"/>
                <w:bCs/>
                <w:sz w:val="30"/>
                <w:szCs w:val="30"/>
              </w:rPr>
              <w:t>教学</w:t>
            </w:r>
            <w:r>
              <w:rPr>
                <w:rFonts w:hint="eastAsia" w:ascii="仿宋_GB2312" w:hAnsi="宋体" w:eastAsia="仿宋_GB2312"/>
                <w:bCs/>
                <w:sz w:val="28"/>
                <w:szCs w:val="28"/>
              </w:rPr>
              <w:t>工作量</w:t>
            </w:r>
          </w:p>
        </w:tc>
        <w:tc>
          <w:tcPr>
            <w:tcW w:w="1420" w:type="dxa"/>
            <w:noWrap w:val="0"/>
            <w:vAlign w:val="center"/>
          </w:tcPr>
          <w:p>
            <w:pPr>
              <w:jc w:val="center"/>
              <w:rPr>
                <w:rFonts w:hint="eastAsia" w:ascii="仿宋_GB2312" w:hAnsi="宋体" w:eastAsia="仿宋_GB2312"/>
                <w:bCs/>
                <w:sz w:val="28"/>
                <w:szCs w:val="28"/>
              </w:rPr>
            </w:pPr>
            <w:r>
              <w:rPr>
                <w:rFonts w:hint="eastAsia" w:ascii="仿宋_GB2312" w:hAnsi="宋体" w:eastAsia="仿宋_GB2312"/>
                <w:bCs/>
                <w:sz w:val="28"/>
                <w:szCs w:val="28"/>
              </w:rPr>
              <w:t>总工作量</w:t>
            </w:r>
          </w:p>
        </w:tc>
        <w:tc>
          <w:tcPr>
            <w:tcW w:w="1768" w:type="dxa"/>
            <w:noWrap w:val="0"/>
            <w:vAlign w:val="center"/>
          </w:tcPr>
          <w:p>
            <w:pPr>
              <w:jc w:val="center"/>
              <w:rPr>
                <w:rFonts w:hint="eastAsia" w:ascii="仿宋_GB2312" w:hAnsi="宋体" w:eastAsia="仿宋_GB2312"/>
                <w:bCs/>
                <w:sz w:val="28"/>
                <w:szCs w:val="28"/>
              </w:rPr>
            </w:pPr>
            <w:r>
              <w:rPr>
                <w:rFonts w:hint="eastAsia" w:ascii="仿宋_GB2312" w:hAnsi="宋体" w:eastAsia="仿宋_GB2312"/>
                <w:bCs/>
                <w:sz w:val="28"/>
                <w:szCs w:val="28"/>
              </w:rPr>
              <w:t>450标时</w:t>
            </w:r>
          </w:p>
        </w:tc>
        <w:tc>
          <w:tcPr>
            <w:tcW w:w="1800" w:type="dxa"/>
            <w:noWrap w:val="0"/>
            <w:vAlign w:val="center"/>
          </w:tcPr>
          <w:p>
            <w:pPr>
              <w:jc w:val="center"/>
              <w:rPr>
                <w:rFonts w:hint="eastAsia" w:ascii="仿宋_GB2312" w:hAnsi="宋体" w:eastAsia="仿宋_GB2312"/>
                <w:bCs/>
                <w:sz w:val="28"/>
                <w:szCs w:val="28"/>
              </w:rPr>
            </w:pPr>
            <w:r>
              <w:rPr>
                <w:rFonts w:hint="eastAsia" w:ascii="仿宋_GB2312" w:hAnsi="宋体" w:eastAsia="仿宋_GB2312"/>
                <w:bCs/>
                <w:sz w:val="28"/>
                <w:szCs w:val="28"/>
              </w:rPr>
              <w:t>500标时</w:t>
            </w:r>
          </w:p>
        </w:tc>
        <w:tc>
          <w:tcPr>
            <w:tcW w:w="2700" w:type="dxa"/>
            <w:noWrap w:val="0"/>
            <w:vAlign w:val="center"/>
          </w:tcPr>
          <w:p>
            <w:pPr>
              <w:jc w:val="center"/>
              <w:rPr>
                <w:rFonts w:hint="eastAsia" w:ascii="仿宋_GB2312" w:hAnsi="宋体" w:eastAsia="仿宋_GB2312"/>
                <w:bCs/>
                <w:sz w:val="28"/>
                <w:szCs w:val="28"/>
              </w:rPr>
            </w:pPr>
            <w:r>
              <w:rPr>
                <w:rFonts w:hint="eastAsia" w:ascii="仿宋_GB2312" w:hAnsi="宋体" w:eastAsia="仿宋_GB2312"/>
                <w:bCs/>
                <w:sz w:val="28"/>
                <w:szCs w:val="28"/>
              </w:rPr>
              <w:t>550标时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420" w:type="dxa"/>
            <w:vMerge w:val="continue"/>
            <w:noWrap w:val="0"/>
            <w:vAlign w:val="center"/>
          </w:tcPr>
          <w:p>
            <w:pPr>
              <w:jc w:val="center"/>
              <w:rPr>
                <w:rFonts w:hint="eastAsia" w:ascii="仿宋_GB2312" w:hAnsi="宋体" w:eastAsia="仿宋_GB2312"/>
                <w:bCs/>
                <w:sz w:val="30"/>
                <w:szCs w:val="30"/>
              </w:rPr>
            </w:pPr>
          </w:p>
        </w:tc>
        <w:tc>
          <w:tcPr>
            <w:tcW w:w="1420" w:type="dxa"/>
            <w:noWrap w:val="0"/>
            <w:vAlign w:val="center"/>
          </w:tcPr>
          <w:p>
            <w:pPr>
              <w:jc w:val="center"/>
              <w:rPr>
                <w:rFonts w:hint="eastAsia" w:ascii="仿宋_GB2312" w:hAnsi="宋体" w:eastAsia="仿宋_GB2312"/>
                <w:bCs/>
                <w:sz w:val="28"/>
                <w:szCs w:val="28"/>
              </w:rPr>
            </w:pPr>
            <w:r>
              <w:rPr>
                <w:rFonts w:hint="eastAsia" w:ascii="仿宋_GB2312" w:hAnsi="宋体" w:eastAsia="仿宋_GB2312"/>
                <w:bCs/>
                <w:sz w:val="28"/>
                <w:szCs w:val="28"/>
              </w:rPr>
              <w:t>非集中实践环节</w:t>
            </w:r>
          </w:p>
        </w:tc>
        <w:tc>
          <w:tcPr>
            <w:tcW w:w="1768" w:type="dxa"/>
            <w:noWrap w:val="0"/>
            <w:vAlign w:val="center"/>
          </w:tcPr>
          <w:p>
            <w:pPr>
              <w:jc w:val="center"/>
              <w:rPr>
                <w:rFonts w:hint="eastAsia" w:ascii="仿宋_GB2312" w:hAnsi="宋体" w:eastAsia="仿宋_GB2312"/>
                <w:bCs/>
                <w:sz w:val="28"/>
                <w:szCs w:val="28"/>
              </w:rPr>
            </w:pPr>
            <w:r>
              <w:rPr>
                <w:rFonts w:hint="eastAsia" w:ascii="仿宋_GB2312" w:hAnsi="宋体" w:eastAsia="仿宋_GB2312"/>
                <w:bCs/>
                <w:sz w:val="28"/>
                <w:szCs w:val="28"/>
              </w:rPr>
              <w:t>160节课</w:t>
            </w:r>
          </w:p>
        </w:tc>
        <w:tc>
          <w:tcPr>
            <w:tcW w:w="1800" w:type="dxa"/>
            <w:noWrap w:val="0"/>
            <w:vAlign w:val="center"/>
          </w:tcPr>
          <w:p>
            <w:pPr>
              <w:jc w:val="center"/>
              <w:rPr>
                <w:rFonts w:hint="eastAsia" w:ascii="仿宋_GB2312" w:hAnsi="宋体" w:eastAsia="仿宋_GB2312"/>
                <w:bCs/>
                <w:sz w:val="28"/>
                <w:szCs w:val="28"/>
              </w:rPr>
            </w:pPr>
            <w:r>
              <w:rPr>
                <w:rFonts w:hint="eastAsia" w:ascii="仿宋_GB2312" w:hAnsi="宋体" w:eastAsia="仿宋_GB2312"/>
                <w:bCs/>
                <w:sz w:val="28"/>
                <w:szCs w:val="28"/>
              </w:rPr>
              <w:t>210节课</w:t>
            </w:r>
          </w:p>
        </w:tc>
        <w:tc>
          <w:tcPr>
            <w:tcW w:w="2700" w:type="dxa"/>
            <w:noWrap w:val="0"/>
            <w:vAlign w:val="center"/>
          </w:tcPr>
          <w:p>
            <w:pPr>
              <w:jc w:val="center"/>
              <w:rPr>
                <w:rFonts w:hint="eastAsia" w:ascii="仿宋_GB2312" w:hAnsi="宋体" w:eastAsia="仿宋_GB2312"/>
                <w:bCs/>
                <w:sz w:val="28"/>
                <w:szCs w:val="28"/>
              </w:rPr>
            </w:pPr>
            <w:r>
              <w:rPr>
                <w:rFonts w:hint="eastAsia" w:ascii="仿宋_GB2312" w:hAnsi="宋体" w:eastAsia="仿宋_GB2312"/>
                <w:bCs/>
                <w:sz w:val="28"/>
                <w:szCs w:val="28"/>
              </w:rPr>
              <w:t>256节课</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注：非集中实践环节主要指课堂教学、实验教学；集中实践环节主要指各类实习实训、课程设计（论文）、毕业设计（论文）。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三、教学任务安排原则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每学期教学任务下达至各院（部）的教研室，各教研室需本着以下基本原则进行教学任务安排：</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1</w:t>
      </w:r>
      <w:r>
        <w:rPr>
          <w:rFonts w:hint="eastAsia" w:ascii="仿宋" w:hAnsi="仿宋" w:eastAsia="仿宋" w:cs="仿宋"/>
          <w:b/>
          <w:bCs/>
          <w:sz w:val="32"/>
          <w:szCs w:val="32"/>
          <w:lang w:val="en-US" w:eastAsia="zh-CN"/>
        </w:rPr>
        <w:t>.</w:t>
      </w:r>
      <w:r>
        <w:rPr>
          <w:rFonts w:hint="eastAsia" w:ascii="仿宋" w:hAnsi="仿宋" w:eastAsia="仿宋" w:cs="仿宋"/>
          <w:b/>
          <w:bCs/>
          <w:sz w:val="32"/>
          <w:szCs w:val="32"/>
        </w:rPr>
        <w:t>达标原则。</w:t>
      </w:r>
      <w:r>
        <w:rPr>
          <w:rFonts w:hint="eastAsia" w:ascii="仿宋" w:hAnsi="仿宋" w:eastAsia="仿宋" w:cs="仿宋"/>
          <w:sz w:val="32"/>
          <w:szCs w:val="32"/>
        </w:rPr>
        <w:t>各教研室应确保所有专职教师达到额定教学工作量。专职教师未达到额定教学工作量的教研室原则上不得聘请外请教师与行政兼职教师；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2</w:t>
      </w:r>
      <w:r>
        <w:rPr>
          <w:rFonts w:hint="eastAsia" w:ascii="仿宋" w:hAnsi="仿宋" w:eastAsia="仿宋" w:cs="仿宋"/>
          <w:b/>
          <w:bCs/>
          <w:sz w:val="32"/>
          <w:szCs w:val="32"/>
          <w:lang w:val="en-US" w:eastAsia="zh-CN"/>
        </w:rPr>
        <w:t>.</w:t>
      </w:r>
      <w:r>
        <w:rPr>
          <w:rFonts w:hint="eastAsia" w:ascii="仿宋" w:hAnsi="仿宋" w:eastAsia="仿宋" w:cs="仿宋"/>
          <w:b/>
          <w:bCs/>
          <w:sz w:val="32"/>
          <w:szCs w:val="32"/>
        </w:rPr>
        <w:t>均衡原则。</w:t>
      </w:r>
      <w:r>
        <w:rPr>
          <w:rFonts w:hint="eastAsia" w:ascii="仿宋" w:hAnsi="仿宋" w:eastAsia="仿宋" w:cs="仿宋"/>
          <w:sz w:val="32"/>
          <w:szCs w:val="32"/>
        </w:rPr>
        <w:t>各教研室应确保所有专职教师非集中实践教学环节任务与总教学任务相对均衡；所有专职教师同一学年的两学期非集中实践教学任务与总教学任务相对均衡，避免出现专职教师一学期只有实践环节教学任务或无教学任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3</w:t>
      </w:r>
      <w:r>
        <w:rPr>
          <w:rFonts w:hint="eastAsia" w:ascii="仿宋" w:hAnsi="仿宋" w:eastAsia="仿宋" w:cs="仿宋"/>
          <w:b/>
          <w:bCs/>
          <w:sz w:val="32"/>
          <w:szCs w:val="32"/>
          <w:lang w:val="en-US" w:eastAsia="zh-CN"/>
        </w:rPr>
        <w:t>.</w:t>
      </w:r>
      <w:r>
        <w:rPr>
          <w:rFonts w:hint="eastAsia" w:ascii="仿宋" w:hAnsi="仿宋" w:eastAsia="仿宋" w:cs="仿宋"/>
          <w:b/>
          <w:bCs/>
          <w:sz w:val="32"/>
          <w:szCs w:val="32"/>
        </w:rPr>
        <w:t>审核审批原则。</w:t>
      </w:r>
      <w:r>
        <w:rPr>
          <w:rFonts w:hint="eastAsia" w:ascii="仿宋" w:hAnsi="仿宋" w:eastAsia="仿宋" w:cs="仿宋"/>
          <w:sz w:val="32"/>
          <w:szCs w:val="32"/>
        </w:rPr>
        <w:t>各教研室负责人本着上述两项原则，对本教研室教师和所属课程进行负协调分配。各院（部）负责人对本院（部）各教研室教师教学任务承担情况须进行审核。经各院（部）负责人审核后的教学任务报教务处审批后方可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四、助课任务安排要求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入职第一年的中级职称以下专职教师，各</w:t>
      </w:r>
      <w:r>
        <w:rPr>
          <w:rFonts w:hint="eastAsia" w:ascii="仿宋" w:hAnsi="仿宋" w:eastAsia="仿宋" w:cs="仿宋"/>
          <w:sz w:val="32"/>
          <w:szCs w:val="32"/>
          <w:lang w:val="en-US" w:eastAsia="zh-CN"/>
        </w:rPr>
        <w:t>院（部）</w:t>
      </w:r>
      <w:r>
        <w:rPr>
          <w:rFonts w:hint="eastAsia" w:ascii="仿宋" w:hAnsi="仿宋" w:eastAsia="仿宋" w:cs="仿宋"/>
          <w:sz w:val="32"/>
          <w:szCs w:val="32"/>
        </w:rPr>
        <w:t>须安排适量助课、助设（课程设计、毕业设计）、助管工作，但450标时总额定教学工作量中最多计100标时助课工作量。入职第二年的中级职称以下专职教师，各院（部）可以安排适量助课工作，原则上助课工作量不超过50标时。入职超过2年及以上或中级职称及以上教师不得安排助课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副高及以上外聘教师以及校内入职超过3年的中级职称及以上教师方可安排助课教师。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非专职教师参与助课类比上述条款执行。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五、课时酬金计算办法</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704" w:type="dxa"/>
            <w:vMerge w:val="restart"/>
            <w:noWrap w:val="0"/>
            <w:vAlign w:val="center"/>
          </w:tcPr>
          <w:p>
            <w:pPr>
              <w:spacing w:line="480" w:lineRule="exact"/>
              <w:jc w:val="center"/>
              <w:rPr>
                <w:rFonts w:hint="eastAsia" w:ascii="仿宋_GB2312" w:hAnsi="宋体" w:eastAsia="仿宋_GB2312"/>
                <w:bCs/>
                <w:sz w:val="28"/>
                <w:szCs w:val="28"/>
              </w:rPr>
            </w:pPr>
            <w:r>
              <w:rPr>
                <w:rFonts w:hint="eastAsia" w:ascii="仿宋_GB2312" w:hAnsi="宋体" w:eastAsia="仿宋_GB2312"/>
                <w:bCs/>
                <w:sz w:val="28"/>
                <w:szCs w:val="28"/>
              </w:rPr>
              <w:t>职称</w:t>
            </w:r>
          </w:p>
        </w:tc>
        <w:tc>
          <w:tcPr>
            <w:tcW w:w="3408" w:type="dxa"/>
            <w:gridSpan w:val="2"/>
            <w:noWrap w:val="0"/>
            <w:vAlign w:val="center"/>
          </w:tcPr>
          <w:p>
            <w:pPr>
              <w:spacing w:line="480" w:lineRule="exact"/>
              <w:jc w:val="center"/>
              <w:rPr>
                <w:rFonts w:hint="eastAsia" w:ascii="仿宋_GB2312" w:hAnsi="宋体" w:eastAsia="仿宋_GB2312"/>
                <w:bCs/>
                <w:sz w:val="28"/>
                <w:szCs w:val="28"/>
              </w:rPr>
            </w:pPr>
            <w:r>
              <w:rPr>
                <w:rFonts w:hint="eastAsia" w:ascii="仿宋_GB2312" w:hAnsi="宋体" w:eastAsia="仿宋_GB2312"/>
                <w:bCs/>
                <w:sz w:val="28"/>
                <w:szCs w:val="28"/>
              </w:rPr>
              <w:t>专职教师</w:t>
            </w:r>
          </w:p>
        </w:tc>
        <w:tc>
          <w:tcPr>
            <w:tcW w:w="3410" w:type="dxa"/>
            <w:gridSpan w:val="2"/>
            <w:noWrap w:val="0"/>
            <w:vAlign w:val="center"/>
          </w:tcPr>
          <w:p>
            <w:pPr>
              <w:spacing w:line="480" w:lineRule="exact"/>
              <w:jc w:val="center"/>
              <w:rPr>
                <w:rFonts w:hint="eastAsia" w:ascii="仿宋_GB2312" w:hAnsi="宋体" w:eastAsia="仿宋_GB2312"/>
                <w:bCs/>
                <w:sz w:val="28"/>
                <w:szCs w:val="28"/>
              </w:rPr>
            </w:pPr>
            <w:r>
              <w:rPr>
                <w:rFonts w:hint="eastAsia" w:ascii="仿宋_GB2312" w:hAnsi="宋体" w:eastAsia="仿宋_GB2312"/>
                <w:bCs/>
                <w:sz w:val="28"/>
                <w:szCs w:val="28"/>
              </w:rPr>
              <w:t>非专职教师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1704" w:type="dxa"/>
            <w:vMerge w:val="continue"/>
            <w:noWrap w:val="0"/>
            <w:vAlign w:val="center"/>
          </w:tcPr>
          <w:p>
            <w:pPr>
              <w:spacing w:line="480" w:lineRule="exact"/>
              <w:jc w:val="center"/>
              <w:rPr>
                <w:rFonts w:hint="eastAsia" w:ascii="仿宋_GB2312" w:hAnsi="宋体" w:eastAsia="仿宋_GB2312"/>
                <w:bCs/>
                <w:sz w:val="28"/>
                <w:szCs w:val="28"/>
              </w:rPr>
            </w:pPr>
          </w:p>
        </w:tc>
        <w:tc>
          <w:tcPr>
            <w:tcW w:w="1704" w:type="dxa"/>
            <w:noWrap w:val="0"/>
            <w:vAlign w:val="center"/>
          </w:tcPr>
          <w:p>
            <w:pPr>
              <w:spacing w:line="480" w:lineRule="exact"/>
              <w:jc w:val="center"/>
              <w:rPr>
                <w:rFonts w:hint="eastAsia" w:ascii="仿宋_GB2312" w:hAnsi="宋体" w:eastAsia="仿宋_GB2312"/>
                <w:bCs/>
                <w:sz w:val="28"/>
                <w:szCs w:val="28"/>
              </w:rPr>
            </w:pPr>
            <w:r>
              <w:rPr>
                <w:rFonts w:hint="eastAsia" w:ascii="仿宋_GB2312" w:hAnsi="宋体" w:eastAsia="仿宋_GB2312"/>
                <w:bCs/>
                <w:sz w:val="28"/>
                <w:szCs w:val="28"/>
              </w:rPr>
              <w:t>工作量</w:t>
            </w:r>
          </w:p>
          <w:p>
            <w:pPr>
              <w:spacing w:line="480" w:lineRule="exact"/>
              <w:jc w:val="center"/>
              <w:rPr>
                <w:rFonts w:hint="eastAsia" w:ascii="仿宋_GB2312" w:hAnsi="宋体" w:eastAsia="仿宋_GB2312"/>
                <w:bCs/>
                <w:sz w:val="28"/>
                <w:szCs w:val="28"/>
              </w:rPr>
            </w:pPr>
            <w:r>
              <w:rPr>
                <w:rFonts w:hint="eastAsia" w:ascii="仿宋_GB2312" w:hAnsi="宋体" w:eastAsia="仿宋_GB2312"/>
                <w:bCs/>
                <w:sz w:val="28"/>
                <w:szCs w:val="28"/>
              </w:rPr>
              <w:t>（标时）</w:t>
            </w:r>
          </w:p>
        </w:tc>
        <w:tc>
          <w:tcPr>
            <w:tcW w:w="1704" w:type="dxa"/>
            <w:noWrap w:val="0"/>
            <w:vAlign w:val="center"/>
          </w:tcPr>
          <w:p>
            <w:pPr>
              <w:spacing w:line="480" w:lineRule="exact"/>
              <w:jc w:val="center"/>
              <w:rPr>
                <w:rFonts w:hint="eastAsia" w:ascii="仿宋_GB2312" w:hAnsi="宋体" w:eastAsia="仿宋_GB2312"/>
                <w:bCs/>
                <w:sz w:val="28"/>
                <w:szCs w:val="28"/>
              </w:rPr>
            </w:pPr>
            <w:r>
              <w:rPr>
                <w:rFonts w:hint="eastAsia" w:ascii="仿宋_GB2312" w:hAnsi="宋体" w:eastAsia="仿宋_GB2312"/>
                <w:bCs/>
                <w:sz w:val="28"/>
                <w:szCs w:val="28"/>
              </w:rPr>
              <w:t>课时酬金</w:t>
            </w:r>
          </w:p>
          <w:p>
            <w:pPr>
              <w:spacing w:line="480" w:lineRule="exact"/>
              <w:jc w:val="center"/>
              <w:rPr>
                <w:rFonts w:hint="eastAsia" w:ascii="仿宋_GB2312" w:hAnsi="宋体" w:eastAsia="仿宋_GB2312"/>
                <w:bCs/>
                <w:sz w:val="28"/>
                <w:szCs w:val="28"/>
              </w:rPr>
            </w:pPr>
            <w:r>
              <w:rPr>
                <w:rFonts w:hint="eastAsia" w:ascii="仿宋_GB2312" w:hAnsi="宋体" w:eastAsia="仿宋_GB2312"/>
                <w:bCs/>
                <w:sz w:val="28"/>
                <w:szCs w:val="28"/>
              </w:rPr>
              <w:t>标准（元）</w:t>
            </w:r>
          </w:p>
        </w:tc>
        <w:tc>
          <w:tcPr>
            <w:tcW w:w="1705" w:type="dxa"/>
            <w:noWrap w:val="0"/>
            <w:vAlign w:val="center"/>
          </w:tcPr>
          <w:p>
            <w:pPr>
              <w:spacing w:line="480" w:lineRule="exact"/>
              <w:jc w:val="center"/>
              <w:rPr>
                <w:rFonts w:hint="eastAsia" w:ascii="仿宋_GB2312" w:hAnsi="宋体" w:eastAsia="仿宋_GB2312"/>
                <w:bCs/>
                <w:sz w:val="28"/>
                <w:szCs w:val="28"/>
              </w:rPr>
            </w:pPr>
            <w:r>
              <w:rPr>
                <w:rFonts w:hint="eastAsia" w:ascii="仿宋_GB2312" w:hAnsi="宋体" w:eastAsia="仿宋_GB2312"/>
                <w:bCs/>
                <w:sz w:val="28"/>
                <w:szCs w:val="28"/>
              </w:rPr>
              <w:t>工作量</w:t>
            </w:r>
          </w:p>
          <w:p>
            <w:pPr>
              <w:spacing w:line="480" w:lineRule="exact"/>
              <w:jc w:val="center"/>
              <w:rPr>
                <w:rFonts w:hint="eastAsia" w:ascii="仿宋_GB2312" w:hAnsi="宋体" w:eastAsia="仿宋_GB2312"/>
                <w:bCs/>
                <w:sz w:val="28"/>
                <w:szCs w:val="28"/>
              </w:rPr>
            </w:pPr>
            <w:r>
              <w:rPr>
                <w:rFonts w:hint="eastAsia" w:ascii="仿宋_GB2312" w:hAnsi="宋体" w:eastAsia="仿宋_GB2312"/>
                <w:bCs/>
                <w:sz w:val="28"/>
                <w:szCs w:val="28"/>
              </w:rPr>
              <w:t>（标时）</w:t>
            </w:r>
          </w:p>
        </w:tc>
        <w:tc>
          <w:tcPr>
            <w:tcW w:w="1705" w:type="dxa"/>
            <w:noWrap w:val="0"/>
            <w:vAlign w:val="center"/>
          </w:tcPr>
          <w:p>
            <w:pPr>
              <w:spacing w:line="480" w:lineRule="exact"/>
              <w:jc w:val="center"/>
              <w:rPr>
                <w:rFonts w:hint="eastAsia" w:ascii="仿宋_GB2312" w:hAnsi="宋体" w:eastAsia="仿宋_GB2312"/>
                <w:bCs/>
                <w:sz w:val="28"/>
                <w:szCs w:val="28"/>
              </w:rPr>
            </w:pPr>
            <w:r>
              <w:rPr>
                <w:rFonts w:hint="eastAsia" w:ascii="仿宋_GB2312" w:hAnsi="宋体" w:eastAsia="仿宋_GB2312"/>
                <w:bCs/>
                <w:sz w:val="28"/>
                <w:szCs w:val="28"/>
              </w:rPr>
              <w:t>课时酬金</w:t>
            </w:r>
          </w:p>
          <w:p>
            <w:pPr>
              <w:spacing w:line="480" w:lineRule="exact"/>
              <w:jc w:val="center"/>
              <w:rPr>
                <w:rFonts w:hint="eastAsia" w:ascii="仿宋_GB2312" w:hAnsi="宋体" w:eastAsia="仿宋_GB2312"/>
                <w:bCs/>
                <w:sz w:val="28"/>
                <w:szCs w:val="28"/>
              </w:rPr>
            </w:pPr>
            <w:r>
              <w:rPr>
                <w:rFonts w:hint="eastAsia" w:ascii="仿宋_GB2312" w:hAnsi="宋体" w:eastAsia="仿宋_GB2312"/>
                <w:bCs/>
                <w:sz w:val="28"/>
                <w:szCs w:val="28"/>
              </w:rPr>
              <w:t>标准（元）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restart"/>
            <w:noWrap w:val="0"/>
            <w:vAlign w:val="center"/>
          </w:tcPr>
          <w:p>
            <w:pPr>
              <w:jc w:val="center"/>
              <w:rPr>
                <w:rFonts w:hint="eastAsia" w:ascii="仿宋_GB2312" w:hAnsi="宋体" w:eastAsia="仿宋_GB2312"/>
                <w:bCs/>
                <w:sz w:val="28"/>
                <w:szCs w:val="28"/>
              </w:rPr>
            </w:pPr>
            <w:r>
              <w:rPr>
                <w:rFonts w:hint="eastAsia" w:ascii="仿宋_GB2312" w:hAnsi="宋体" w:eastAsia="仿宋_GB2312"/>
                <w:bCs/>
                <w:sz w:val="28"/>
                <w:szCs w:val="28"/>
              </w:rPr>
              <w:t>助教</w:t>
            </w:r>
          </w:p>
          <w:p>
            <w:pPr>
              <w:jc w:val="center"/>
              <w:rPr>
                <w:rFonts w:hint="eastAsia" w:ascii="仿宋_GB2312" w:hAnsi="宋体" w:eastAsia="仿宋_GB2312"/>
                <w:bCs/>
                <w:sz w:val="28"/>
                <w:szCs w:val="28"/>
              </w:rPr>
            </w:pPr>
            <w:r>
              <w:rPr>
                <w:rFonts w:hint="eastAsia" w:ascii="仿宋_GB2312" w:hAnsi="宋体" w:eastAsia="仿宋_GB2312"/>
                <w:bCs/>
                <w:sz w:val="28"/>
                <w:szCs w:val="28"/>
              </w:rPr>
              <w:t>（初级）</w:t>
            </w:r>
          </w:p>
        </w:tc>
        <w:tc>
          <w:tcPr>
            <w:tcW w:w="1704" w:type="dxa"/>
            <w:noWrap w:val="0"/>
            <w:vAlign w:val="center"/>
          </w:tcPr>
          <w:p>
            <w:pPr>
              <w:jc w:val="center"/>
              <w:rPr>
                <w:rFonts w:hint="eastAsia" w:ascii="仿宋_GB2312" w:hAnsi="宋体" w:eastAsia="仿宋_GB2312"/>
                <w:bCs/>
                <w:sz w:val="28"/>
                <w:szCs w:val="28"/>
              </w:rPr>
            </w:pPr>
            <w:r>
              <w:rPr>
                <w:rFonts w:hint="eastAsia" w:ascii="仿宋_GB2312" w:hAnsi="宋体" w:eastAsia="仿宋_GB2312"/>
                <w:bCs/>
                <w:sz w:val="28"/>
                <w:szCs w:val="28"/>
              </w:rPr>
              <w:t>340及以内</w:t>
            </w:r>
          </w:p>
        </w:tc>
        <w:tc>
          <w:tcPr>
            <w:tcW w:w="1704" w:type="dxa"/>
            <w:noWrap w:val="0"/>
            <w:vAlign w:val="center"/>
          </w:tcPr>
          <w:p>
            <w:pPr>
              <w:jc w:val="center"/>
              <w:rPr>
                <w:rFonts w:hint="eastAsia" w:ascii="仿宋_GB2312" w:hAnsi="宋体" w:eastAsia="仿宋_GB2312"/>
                <w:bCs/>
                <w:sz w:val="28"/>
                <w:szCs w:val="28"/>
              </w:rPr>
            </w:pPr>
            <w:r>
              <w:rPr>
                <w:rFonts w:hint="eastAsia" w:ascii="仿宋_GB2312" w:hAnsi="宋体" w:eastAsia="仿宋_GB2312"/>
                <w:bCs/>
                <w:sz w:val="28"/>
                <w:szCs w:val="28"/>
              </w:rPr>
              <w:t>10</w:t>
            </w:r>
          </w:p>
        </w:tc>
        <w:tc>
          <w:tcPr>
            <w:tcW w:w="1705" w:type="dxa"/>
            <w:noWrap w:val="0"/>
            <w:vAlign w:val="center"/>
          </w:tcPr>
          <w:p>
            <w:pPr>
              <w:jc w:val="center"/>
              <w:rPr>
                <w:rFonts w:hint="eastAsia" w:ascii="仿宋_GB2312" w:hAnsi="宋体" w:eastAsia="仿宋_GB2312"/>
                <w:bCs/>
                <w:sz w:val="28"/>
                <w:szCs w:val="28"/>
              </w:rPr>
            </w:pPr>
            <w:r>
              <w:rPr>
                <w:rFonts w:hint="eastAsia" w:ascii="仿宋_GB2312" w:hAnsi="宋体" w:eastAsia="仿宋_GB2312"/>
                <w:bCs/>
                <w:sz w:val="28"/>
                <w:szCs w:val="28"/>
              </w:rPr>
              <w:t>400及以内</w:t>
            </w:r>
          </w:p>
        </w:tc>
        <w:tc>
          <w:tcPr>
            <w:tcW w:w="1705" w:type="dxa"/>
            <w:noWrap w:val="0"/>
            <w:vAlign w:val="center"/>
          </w:tcPr>
          <w:p>
            <w:pPr>
              <w:jc w:val="center"/>
              <w:rPr>
                <w:rFonts w:hint="eastAsia" w:ascii="仿宋_GB2312" w:hAnsi="宋体" w:eastAsia="仿宋_GB2312"/>
                <w:bCs/>
                <w:sz w:val="28"/>
                <w:szCs w:val="28"/>
              </w:rPr>
            </w:pPr>
            <w:r>
              <w:rPr>
                <w:rFonts w:hint="eastAsia" w:ascii="仿宋_GB2312" w:hAnsi="宋体" w:eastAsia="仿宋_GB2312"/>
                <w:bCs/>
                <w:sz w:val="28"/>
                <w:szCs w:val="2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noWrap w:val="0"/>
            <w:vAlign w:val="center"/>
          </w:tcPr>
          <w:p>
            <w:pPr>
              <w:jc w:val="center"/>
              <w:rPr>
                <w:rFonts w:hint="eastAsia" w:ascii="仿宋_GB2312" w:hAnsi="宋体" w:eastAsia="仿宋_GB2312"/>
                <w:bCs/>
                <w:sz w:val="28"/>
                <w:szCs w:val="28"/>
              </w:rPr>
            </w:pPr>
          </w:p>
        </w:tc>
        <w:tc>
          <w:tcPr>
            <w:tcW w:w="1704" w:type="dxa"/>
            <w:noWrap w:val="0"/>
            <w:vAlign w:val="center"/>
          </w:tcPr>
          <w:p>
            <w:pPr>
              <w:jc w:val="center"/>
              <w:rPr>
                <w:rFonts w:hint="eastAsia" w:ascii="仿宋_GB2312" w:hAnsi="宋体" w:eastAsia="仿宋_GB2312"/>
                <w:bCs/>
                <w:sz w:val="28"/>
                <w:szCs w:val="28"/>
              </w:rPr>
            </w:pPr>
            <w:r>
              <w:rPr>
                <w:rFonts w:hint="eastAsia" w:ascii="仿宋_GB2312" w:hAnsi="宋体" w:eastAsia="仿宋_GB2312"/>
                <w:bCs/>
                <w:sz w:val="28"/>
                <w:szCs w:val="28"/>
              </w:rPr>
              <w:t>340以上</w:t>
            </w:r>
          </w:p>
        </w:tc>
        <w:tc>
          <w:tcPr>
            <w:tcW w:w="1704" w:type="dxa"/>
            <w:noWrap w:val="0"/>
            <w:vAlign w:val="center"/>
          </w:tcPr>
          <w:p>
            <w:pPr>
              <w:jc w:val="center"/>
              <w:rPr>
                <w:rFonts w:hint="eastAsia" w:ascii="仿宋_GB2312" w:hAnsi="宋体" w:eastAsia="仿宋_GB2312"/>
                <w:bCs/>
                <w:sz w:val="28"/>
                <w:szCs w:val="28"/>
              </w:rPr>
            </w:pPr>
            <w:r>
              <w:rPr>
                <w:rFonts w:hint="eastAsia" w:ascii="仿宋_GB2312" w:hAnsi="宋体" w:eastAsia="仿宋_GB2312"/>
                <w:bCs/>
                <w:sz w:val="28"/>
                <w:szCs w:val="28"/>
              </w:rPr>
              <w:t>40</w:t>
            </w:r>
          </w:p>
        </w:tc>
        <w:tc>
          <w:tcPr>
            <w:tcW w:w="1705" w:type="dxa"/>
            <w:noWrap w:val="0"/>
            <w:vAlign w:val="center"/>
          </w:tcPr>
          <w:p>
            <w:pPr>
              <w:jc w:val="center"/>
              <w:rPr>
                <w:rFonts w:hint="eastAsia" w:ascii="仿宋_GB2312" w:hAnsi="宋体" w:eastAsia="仿宋_GB2312"/>
                <w:bCs/>
                <w:sz w:val="28"/>
                <w:szCs w:val="28"/>
              </w:rPr>
            </w:pPr>
            <w:r>
              <w:rPr>
                <w:rFonts w:hint="eastAsia" w:ascii="仿宋_GB2312" w:hAnsi="宋体" w:eastAsia="仿宋_GB2312"/>
                <w:bCs/>
                <w:sz w:val="28"/>
                <w:szCs w:val="28"/>
              </w:rPr>
              <w:t>400以上</w:t>
            </w:r>
          </w:p>
        </w:tc>
        <w:tc>
          <w:tcPr>
            <w:tcW w:w="1705" w:type="dxa"/>
            <w:noWrap w:val="0"/>
            <w:vAlign w:val="center"/>
          </w:tcPr>
          <w:p>
            <w:pPr>
              <w:jc w:val="center"/>
              <w:rPr>
                <w:rFonts w:hint="eastAsia" w:ascii="仿宋_GB2312" w:hAnsi="宋体" w:eastAsia="仿宋_GB2312"/>
                <w:bCs/>
                <w:sz w:val="28"/>
                <w:szCs w:val="28"/>
              </w:rPr>
            </w:pPr>
            <w:r>
              <w:rPr>
                <w:rFonts w:hint="eastAsia" w:ascii="仿宋_GB2312" w:hAnsi="宋体" w:eastAsia="仿宋_GB2312"/>
                <w:bCs/>
                <w:sz w:val="28"/>
                <w:szCs w:val="28"/>
              </w:rPr>
              <w:t>不予计算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restart"/>
            <w:noWrap w:val="0"/>
            <w:vAlign w:val="center"/>
          </w:tcPr>
          <w:p>
            <w:pPr>
              <w:jc w:val="center"/>
              <w:rPr>
                <w:rFonts w:hint="eastAsia" w:ascii="仿宋_GB2312" w:hAnsi="宋体" w:eastAsia="仿宋_GB2312"/>
                <w:bCs/>
                <w:sz w:val="28"/>
                <w:szCs w:val="28"/>
              </w:rPr>
            </w:pPr>
            <w:r>
              <w:rPr>
                <w:rFonts w:hint="eastAsia" w:ascii="仿宋_GB2312" w:hAnsi="宋体" w:eastAsia="仿宋_GB2312"/>
                <w:bCs/>
                <w:sz w:val="28"/>
                <w:szCs w:val="28"/>
              </w:rPr>
              <w:t>讲师</w:t>
            </w:r>
          </w:p>
          <w:p>
            <w:pPr>
              <w:jc w:val="center"/>
              <w:rPr>
                <w:rFonts w:hint="eastAsia" w:ascii="仿宋_GB2312" w:hAnsi="宋体" w:eastAsia="仿宋_GB2312"/>
                <w:bCs/>
                <w:sz w:val="28"/>
                <w:szCs w:val="28"/>
              </w:rPr>
            </w:pPr>
            <w:r>
              <w:rPr>
                <w:rFonts w:hint="eastAsia" w:ascii="仿宋_GB2312" w:hAnsi="宋体" w:eastAsia="仿宋_GB2312"/>
                <w:bCs/>
                <w:sz w:val="28"/>
                <w:szCs w:val="28"/>
              </w:rPr>
              <w:t>（中级）</w:t>
            </w:r>
          </w:p>
        </w:tc>
        <w:tc>
          <w:tcPr>
            <w:tcW w:w="1704" w:type="dxa"/>
            <w:noWrap w:val="0"/>
            <w:vAlign w:val="center"/>
          </w:tcPr>
          <w:p>
            <w:pPr>
              <w:jc w:val="center"/>
              <w:rPr>
                <w:rFonts w:hint="eastAsia" w:ascii="仿宋_GB2312" w:hAnsi="宋体" w:eastAsia="仿宋_GB2312"/>
                <w:bCs/>
                <w:sz w:val="28"/>
                <w:szCs w:val="28"/>
              </w:rPr>
            </w:pPr>
            <w:r>
              <w:rPr>
                <w:rFonts w:hint="eastAsia" w:ascii="仿宋_GB2312" w:hAnsi="宋体" w:eastAsia="仿宋_GB2312"/>
                <w:bCs/>
                <w:sz w:val="28"/>
                <w:szCs w:val="28"/>
              </w:rPr>
              <w:t>360及以内</w:t>
            </w:r>
          </w:p>
        </w:tc>
        <w:tc>
          <w:tcPr>
            <w:tcW w:w="1704" w:type="dxa"/>
            <w:noWrap w:val="0"/>
            <w:vAlign w:val="center"/>
          </w:tcPr>
          <w:p>
            <w:pPr>
              <w:jc w:val="center"/>
              <w:rPr>
                <w:rFonts w:hint="eastAsia" w:ascii="仿宋_GB2312" w:hAnsi="宋体" w:eastAsia="仿宋_GB2312"/>
                <w:bCs/>
                <w:sz w:val="28"/>
                <w:szCs w:val="28"/>
              </w:rPr>
            </w:pPr>
            <w:r>
              <w:rPr>
                <w:rFonts w:hint="eastAsia" w:ascii="仿宋_GB2312" w:hAnsi="宋体" w:eastAsia="仿宋_GB2312"/>
                <w:bCs/>
                <w:sz w:val="28"/>
                <w:szCs w:val="28"/>
              </w:rPr>
              <w:t>10</w:t>
            </w:r>
          </w:p>
        </w:tc>
        <w:tc>
          <w:tcPr>
            <w:tcW w:w="1705" w:type="dxa"/>
            <w:noWrap w:val="0"/>
            <w:vAlign w:val="center"/>
          </w:tcPr>
          <w:p>
            <w:pPr>
              <w:jc w:val="center"/>
              <w:rPr>
                <w:rFonts w:hint="eastAsia" w:ascii="仿宋_GB2312" w:hAnsi="宋体" w:eastAsia="仿宋_GB2312"/>
                <w:bCs/>
                <w:sz w:val="28"/>
                <w:szCs w:val="28"/>
              </w:rPr>
            </w:pPr>
            <w:r>
              <w:rPr>
                <w:rFonts w:hint="eastAsia" w:ascii="仿宋_GB2312" w:hAnsi="宋体" w:eastAsia="仿宋_GB2312"/>
                <w:bCs/>
                <w:sz w:val="28"/>
                <w:szCs w:val="28"/>
              </w:rPr>
              <w:t>400及以内</w:t>
            </w:r>
          </w:p>
        </w:tc>
        <w:tc>
          <w:tcPr>
            <w:tcW w:w="1705" w:type="dxa"/>
            <w:noWrap w:val="0"/>
            <w:vAlign w:val="center"/>
          </w:tcPr>
          <w:p>
            <w:pPr>
              <w:jc w:val="center"/>
              <w:rPr>
                <w:rFonts w:hint="eastAsia" w:ascii="仿宋_GB2312" w:hAnsi="宋体" w:eastAsia="仿宋_GB2312"/>
                <w:bCs/>
                <w:sz w:val="28"/>
                <w:szCs w:val="28"/>
              </w:rPr>
            </w:pPr>
            <w:r>
              <w:rPr>
                <w:rFonts w:hint="eastAsia" w:ascii="仿宋_GB2312" w:hAnsi="宋体" w:eastAsia="仿宋_GB2312"/>
                <w:bCs/>
                <w:sz w:val="28"/>
                <w:szCs w:val="2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noWrap w:val="0"/>
            <w:vAlign w:val="top"/>
          </w:tcPr>
          <w:p>
            <w:pPr>
              <w:rPr>
                <w:rFonts w:hint="eastAsia" w:ascii="仿宋_GB2312" w:hAnsi="宋体" w:eastAsia="仿宋_GB2312"/>
                <w:bCs/>
                <w:sz w:val="30"/>
                <w:szCs w:val="30"/>
              </w:rPr>
            </w:pPr>
          </w:p>
        </w:tc>
        <w:tc>
          <w:tcPr>
            <w:tcW w:w="1704" w:type="dxa"/>
            <w:noWrap w:val="0"/>
            <w:vAlign w:val="center"/>
          </w:tcPr>
          <w:p>
            <w:pPr>
              <w:jc w:val="center"/>
              <w:rPr>
                <w:rFonts w:hint="eastAsia" w:ascii="仿宋_GB2312" w:hAnsi="宋体" w:eastAsia="仿宋_GB2312"/>
                <w:bCs/>
                <w:sz w:val="28"/>
                <w:szCs w:val="28"/>
              </w:rPr>
            </w:pPr>
            <w:r>
              <w:rPr>
                <w:rFonts w:hint="eastAsia" w:ascii="仿宋_GB2312" w:hAnsi="宋体" w:eastAsia="仿宋_GB2312"/>
                <w:bCs/>
                <w:sz w:val="28"/>
                <w:szCs w:val="28"/>
              </w:rPr>
              <w:t>360以上</w:t>
            </w:r>
          </w:p>
        </w:tc>
        <w:tc>
          <w:tcPr>
            <w:tcW w:w="1704" w:type="dxa"/>
            <w:noWrap w:val="0"/>
            <w:vAlign w:val="center"/>
          </w:tcPr>
          <w:p>
            <w:pPr>
              <w:jc w:val="center"/>
              <w:rPr>
                <w:rFonts w:hint="eastAsia" w:ascii="仿宋_GB2312" w:hAnsi="宋体" w:eastAsia="仿宋_GB2312"/>
                <w:bCs/>
                <w:sz w:val="28"/>
                <w:szCs w:val="28"/>
              </w:rPr>
            </w:pPr>
            <w:r>
              <w:rPr>
                <w:rFonts w:hint="eastAsia" w:ascii="仿宋_GB2312" w:hAnsi="宋体" w:eastAsia="仿宋_GB2312"/>
                <w:bCs/>
                <w:sz w:val="28"/>
                <w:szCs w:val="28"/>
              </w:rPr>
              <w:t>50</w:t>
            </w:r>
          </w:p>
        </w:tc>
        <w:tc>
          <w:tcPr>
            <w:tcW w:w="1705" w:type="dxa"/>
            <w:noWrap w:val="0"/>
            <w:vAlign w:val="center"/>
          </w:tcPr>
          <w:p>
            <w:pPr>
              <w:jc w:val="center"/>
              <w:rPr>
                <w:rFonts w:hint="eastAsia" w:ascii="仿宋_GB2312" w:hAnsi="宋体" w:eastAsia="仿宋_GB2312"/>
                <w:bCs/>
                <w:sz w:val="28"/>
                <w:szCs w:val="28"/>
              </w:rPr>
            </w:pPr>
            <w:r>
              <w:rPr>
                <w:rFonts w:hint="eastAsia" w:ascii="仿宋_GB2312" w:hAnsi="宋体" w:eastAsia="仿宋_GB2312"/>
                <w:bCs/>
                <w:sz w:val="28"/>
                <w:szCs w:val="28"/>
              </w:rPr>
              <w:t>400以上</w:t>
            </w:r>
          </w:p>
        </w:tc>
        <w:tc>
          <w:tcPr>
            <w:tcW w:w="1705" w:type="dxa"/>
            <w:noWrap w:val="0"/>
            <w:vAlign w:val="center"/>
          </w:tcPr>
          <w:p>
            <w:pPr>
              <w:jc w:val="center"/>
              <w:rPr>
                <w:rFonts w:hint="eastAsia" w:ascii="仿宋_GB2312" w:hAnsi="宋体" w:eastAsia="仿宋_GB2312"/>
                <w:bCs/>
                <w:sz w:val="28"/>
                <w:szCs w:val="28"/>
              </w:rPr>
            </w:pPr>
            <w:r>
              <w:rPr>
                <w:rFonts w:hint="eastAsia" w:ascii="仿宋_GB2312" w:hAnsi="宋体" w:eastAsia="仿宋_GB2312"/>
                <w:bCs/>
                <w:sz w:val="28"/>
                <w:szCs w:val="28"/>
              </w:rPr>
              <w:t>不予计算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restart"/>
            <w:noWrap w:val="0"/>
            <w:vAlign w:val="center"/>
          </w:tcPr>
          <w:p>
            <w:pPr>
              <w:jc w:val="center"/>
              <w:rPr>
                <w:rFonts w:hint="eastAsia" w:ascii="仿宋_GB2312" w:hAnsi="宋体" w:eastAsia="仿宋_GB2312"/>
                <w:bCs/>
                <w:sz w:val="28"/>
                <w:szCs w:val="28"/>
              </w:rPr>
            </w:pPr>
            <w:r>
              <w:rPr>
                <w:rFonts w:hint="eastAsia" w:ascii="仿宋_GB2312" w:hAnsi="宋体" w:eastAsia="仿宋_GB2312"/>
                <w:bCs/>
                <w:sz w:val="28"/>
                <w:szCs w:val="28"/>
              </w:rPr>
              <w:t>副教授</w:t>
            </w:r>
          </w:p>
          <w:p>
            <w:pPr>
              <w:jc w:val="center"/>
              <w:rPr>
                <w:rFonts w:hint="eastAsia" w:ascii="仿宋_GB2312" w:hAnsi="宋体" w:eastAsia="仿宋_GB2312"/>
                <w:bCs/>
                <w:sz w:val="28"/>
                <w:szCs w:val="28"/>
              </w:rPr>
            </w:pPr>
            <w:r>
              <w:rPr>
                <w:rFonts w:hint="eastAsia" w:ascii="仿宋_GB2312" w:hAnsi="宋体" w:eastAsia="仿宋_GB2312"/>
                <w:bCs/>
                <w:sz w:val="28"/>
                <w:szCs w:val="28"/>
              </w:rPr>
              <w:t>（副高）</w:t>
            </w:r>
          </w:p>
        </w:tc>
        <w:tc>
          <w:tcPr>
            <w:tcW w:w="1704" w:type="dxa"/>
            <w:noWrap w:val="0"/>
            <w:vAlign w:val="center"/>
          </w:tcPr>
          <w:p>
            <w:pPr>
              <w:jc w:val="center"/>
              <w:rPr>
                <w:rFonts w:hint="eastAsia" w:ascii="仿宋_GB2312" w:hAnsi="宋体" w:eastAsia="仿宋_GB2312"/>
                <w:bCs/>
                <w:sz w:val="28"/>
                <w:szCs w:val="28"/>
              </w:rPr>
            </w:pPr>
            <w:r>
              <w:rPr>
                <w:rFonts w:hint="eastAsia" w:ascii="仿宋_GB2312" w:hAnsi="宋体" w:eastAsia="仿宋_GB2312"/>
                <w:bCs/>
                <w:sz w:val="28"/>
                <w:szCs w:val="28"/>
              </w:rPr>
              <w:t>380及以内</w:t>
            </w:r>
          </w:p>
        </w:tc>
        <w:tc>
          <w:tcPr>
            <w:tcW w:w="1704" w:type="dxa"/>
            <w:noWrap w:val="0"/>
            <w:vAlign w:val="center"/>
          </w:tcPr>
          <w:p>
            <w:pPr>
              <w:jc w:val="center"/>
              <w:rPr>
                <w:rFonts w:hint="eastAsia" w:ascii="仿宋_GB2312" w:hAnsi="宋体" w:eastAsia="仿宋_GB2312"/>
                <w:bCs/>
                <w:sz w:val="28"/>
                <w:szCs w:val="28"/>
              </w:rPr>
            </w:pPr>
            <w:r>
              <w:rPr>
                <w:rFonts w:hint="eastAsia" w:ascii="仿宋_GB2312" w:hAnsi="宋体" w:eastAsia="仿宋_GB2312"/>
                <w:bCs/>
                <w:sz w:val="28"/>
                <w:szCs w:val="28"/>
              </w:rPr>
              <w:t>10</w:t>
            </w:r>
          </w:p>
        </w:tc>
        <w:tc>
          <w:tcPr>
            <w:tcW w:w="1705" w:type="dxa"/>
            <w:noWrap w:val="0"/>
            <w:vAlign w:val="center"/>
          </w:tcPr>
          <w:p>
            <w:pPr>
              <w:jc w:val="center"/>
              <w:rPr>
                <w:rFonts w:hint="eastAsia" w:ascii="仿宋_GB2312" w:hAnsi="宋体" w:eastAsia="仿宋_GB2312"/>
                <w:bCs/>
                <w:sz w:val="28"/>
                <w:szCs w:val="28"/>
              </w:rPr>
            </w:pPr>
            <w:r>
              <w:rPr>
                <w:rFonts w:hint="eastAsia" w:ascii="仿宋_GB2312" w:hAnsi="宋体" w:eastAsia="仿宋_GB2312"/>
                <w:bCs/>
                <w:sz w:val="28"/>
                <w:szCs w:val="28"/>
              </w:rPr>
              <w:t>400及以内</w:t>
            </w:r>
          </w:p>
        </w:tc>
        <w:tc>
          <w:tcPr>
            <w:tcW w:w="1705" w:type="dxa"/>
            <w:noWrap w:val="0"/>
            <w:vAlign w:val="center"/>
          </w:tcPr>
          <w:p>
            <w:pPr>
              <w:jc w:val="center"/>
              <w:rPr>
                <w:rFonts w:hint="eastAsia" w:ascii="仿宋_GB2312" w:hAnsi="宋体" w:eastAsia="仿宋_GB2312"/>
                <w:bCs/>
                <w:sz w:val="28"/>
                <w:szCs w:val="28"/>
              </w:rPr>
            </w:pPr>
            <w:r>
              <w:rPr>
                <w:rFonts w:hint="eastAsia" w:ascii="仿宋_GB2312" w:hAnsi="宋体" w:eastAsia="仿宋_GB2312"/>
                <w:bCs/>
                <w:sz w:val="28"/>
                <w:szCs w:val="2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noWrap w:val="0"/>
            <w:vAlign w:val="center"/>
          </w:tcPr>
          <w:p>
            <w:pPr>
              <w:jc w:val="center"/>
              <w:rPr>
                <w:rFonts w:hint="eastAsia" w:ascii="仿宋_GB2312" w:hAnsi="宋体" w:eastAsia="仿宋_GB2312"/>
                <w:bCs/>
                <w:sz w:val="30"/>
                <w:szCs w:val="30"/>
              </w:rPr>
            </w:pPr>
          </w:p>
        </w:tc>
        <w:tc>
          <w:tcPr>
            <w:tcW w:w="1704" w:type="dxa"/>
            <w:noWrap w:val="0"/>
            <w:vAlign w:val="center"/>
          </w:tcPr>
          <w:p>
            <w:pPr>
              <w:jc w:val="center"/>
              <w:rPr>
                <w:rFonts w:hint="eastAsia" w:ascii="仿宋_GB2312" w:hAnsi="宋体" w:eastAsia="仿宋_GB2312"/>
                <w:bCs/>
                <w:sz w:val="28"/>
                <w:szCs w:val="28"/>
              </w:rPr>
            </w:pPr>
            <w:r>
              <w:rPr>
                <w:rFonts w:hint="eastAsia" w:ascii="仿宋_GB2312" w:hAnsi="宋体" w:eastAsia="仿宋_GB2312"/>
                <w:bCs/>
                <w:sz w:val="28"/>
                <w:szCs w:val="28"/>
              </w:rPr>
              <w:t>380以上</w:t>
            </w:r>
          </w:p>
        </w:tc>
        <w:tc>
          <w:tcPr>
            <w:tcW w:w="1704" w:type="dxa"/>
            <w:noWrap w:val="0"/>
            <w:vAlign w:val="center"/>
          </w:tcPr>
          <w:p>
            <w:pPr>
              <w:jc w:val="center"/>
              <w:rPr>
                <w:rFonts w:hint="eastAsia" w:ascii="仿宋_GB2312" w:hAnsi="宋体" w:eastAsia="仿宋_GB2312"/>
                <w:bCs/>
                <w:sz w:val="28"/>
                <w:szCs w:val="28"/>
              </w:rPr>
            </w:pPr>
            <w:r>
              <w:rPr>
                <w:rFonts w:hint="eastAsia" w:ascii="仿宋_GB2312" w:hAnsi="宋体" w:eastAsia="仿宋_GB2312"/>
                <w:bCs/>
                <w:sz w:val="28"/>
                <w:szCs w:val="28"/>
              </w:rPr>
              <w:t>60</w:t>
            </w:r>
          </w:p>
        </w:tc>
        <w:tc>
          <w:tcPr>
            <w:tcW w:w="1705" w:type="dxa"/>
            <w:noWrap w:val="0"/>
            <w:vAlign w:val="center"/>
          </w:tcPr>
          <w:p>
            <w:pPr>
              <w:jc w:val="center"/>
              <w:rPr>
                <w:rFonts w:hint="eastAsia" w:ascii="仿宋_GB2312" w:hAnsi="宋体" w:eastAsia="仿宋_GB2312"/>
                <w:bCs/>
                <w:sz w:val="28"/>
                <w:szCs w:val="28"/>
              </w:rPr>
            </w:pPr>
            <w:r>
              <w:rPr>
                <w:rFonts w:hint="eastAsia" w:ascii="仿宋_GB2312" w:hAnsi="宋体" w:eastAsia="仿宋_GB2312"/>
                <w:bCs/>
                <w:sz w:val="28"/>
                <w:szCs w:val="28"/>
              </w:rPr>
              <w:t>400以上</w:t>
            </w:r>
          </w:p>
        </w:tc>
        <w:tc>
          <w:tcPr>
            <w:tcW w:w="1705" w:type="dxa"/>
            <w:noWrap w:val="0"/>
            <w:vAlign w:val="center"/>
          </w:tcPr>
          <w:p>
            <w:pPr>
              <w:jc w:val="center"/>
              <w:rPr>
                <w:rFonts w:hint="eastAsia" w:ascii="仿宋_GB2312" w:hAnsi="宋体" w:eastAsia="仿宋_GB2312"/>
                <w:bCs/>
                <w:sz w:val="28"/>
                <w:szCs w:val="28"/>
              </w:rPr>
            </w:pPr>
            <w:r>
              <w:rPr>
                <w:rFonts w:hint="eastAsia" w:ascii="仿宋_GB2312" w:hAnsi="宋体" w:eastAsia="仿宋_GB2312"/>
                <w:bCs/>
                <w:sz w:val="28"/>
                <w:szCs w:val="28"/>
              </w:rPr>
              <w:t>不予计算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restart"/>
            <w:noWrap w:val="0"/>
            <w:vAlign w:val="center"/>
          </w:tcPr>
          <w:p>
            <w:pPr>
              <w:jc w:val="center"/>
              <w:rPr>
                <w:rFonts w:hint="eastAsia" w:ascii="仿宋_GB2312" w:hAnsi="宋体" w:eastAsia="仿宋_GB2312"/>
                <w:bCs/>
                <w:sz w:val="28"/>
                <w:szCs w:val="28"/>
              </w:rPr>
            </w:pPr>
            <w:r>
              <w:rPr>
                <w:rFonts w:hint="eastAsia" w:ascii="仿宋_GB2312" w:hAnsi="宋体" w:eastAsia="仿宋_GB2312"/>
                <w:bCs/>
                <w:sz w:val="28"/>
                <w:szCs w:val="28"/>
              </w:rPr>
              <w:t>教授</w:t>
            </w:r>
          </w:p>
          <w:p>
            <w:pPr>
              <w:jc w:val="center"/>
              <w:rPr>
                <w:rFonts w:hint="eastAsia" w:ascii="仿宋_GB2312" w:hAnsi="宋体" w:eastAsia="仿宋_GB2312"/>
                <w:bCs/>
                <w:sz w:val="28"/>
                <w:szCs w:val="28"/>
              </w:rPr>
            </w:pPr>
            <w:r>
              <w:rPr>
                <w:rFonts w:hint="eastAsia" w:ascii="仿宋_GB2312" w:hAnsi="宋体" w:eastAsia="仿宋_GB2312"/>
                <w:bCs/>
                <w:sz w:val="28"/>
                <w:szCs w:val="28"/>
              </w:rPr>
              <w:t>（正高）</w:t>
            </w:r>
          </w:p>
        </w:tc>
        <w:tc>
          <w:tcPr>
            <w:tcW w:w="1704" w:type="dxa"/>
            <w:noWrap w:val="0"/>
            <w:vAlign w:val="center"/>
          </w:tcPr>
          <w:p>
            <w:pPr>
              <w:jc w:val="center"/>
              <w:rPr>
                <w:rFonts w:hint="eastAsia" w:ascii="仿宋_GB2312" w:hAnsi="宋体" w:eastAsia="仿宋_GB2312"/>
                <w:bCs/>
                <w:sz w:val="28"/>
                <w:szCs w:val="28"/>
              </w:rPr>
            </w:pPr>
            <w:r>
              <w:rPr>
                <w:rFonts w:hint="eastAsia" w:ascii="仿宋_GB2312" w:hAnsi="宋体" w:eastAsia="仿宋_GB2312"/>
                <w:bCs/>
                <w:sz w:val="28"/>
                <w:szCs w:val="28"/>
              </w:rPr>
              <w:t>400及以内</w:t>
            </w:r>
          </w:p>
        </w:tc>
        <w:tc>
          <w:tcPr>
            <w:tcW w:w="1704" w:type="dxa"/>
            <w:noWrap w:val="0"/>
            <w:vAlign w:val="center"/>
          </w:tcPr>
          <w:p>
            <w:pPr>
              <w:jc w:val="center"/>
              <w:rPr>
                <w:rFonts w:hint="eastAsia" w:ascii="仿宋_GB2312" w:hAnsi="宋体" w:eastAsia="仿宋_GB2312"/>
                <w:bCs/>
                <w:sz w:val="28"/>
                <w:szCs w:val="28"/>
              </w:rPr>
            </w:pPr>
            <w:r>
              <w:rPr>
                <w:rFonts w:hint="eastAsia" w:ascii="仿宋_GB2312" w:hAnsi="宋体" w:eastAsia="仿宋_GB2312"/>
                <w:bCs/>
                <w:sz w:val="28"/>
                <w:szCs w:val="28"/>
              </w:rPr>
              <w:t>10</w:t>
            </w:r>
          </w:p>
        </w:tc>
        <w:tc>
          <w:tcPr>
            <w:tcW w:w="1705" w:type="dxa"/>
            <w:noWrap w:val="0"/>
            <w:vAlign w:val="center"/>
          </w:tcPr>
          <w:p>
            <w:pPr>
              <w:jc w:val="center"/>
              <w:rPr>
                <w:rFonts w:hint="eastAsia" w:ascii="仿宋_GB2312" w:hAnsi="宋体" w:eastAsia="仿宋_GB2312"/>
                <w:bCs/>
                <w:sz w:val="28"/>
                <w:szCs w:val="28"/>
              </w:rPr>
            </w:pPr>
            <w:r>
              <w:rPr>
                <w:rFonts w:hint="eastAsia" w:ascii="仿宋_GB2312" w:hAnsi="宋体" w:eastAsia="仿宋_GB2312"/>
                <w:bCs/>
                <w:sz w:val="28"/>
                <w:szCs w:val="28"/>
              </w:rPr>
              <w:t>400及以内</w:t>
            </w:r>
          </w:p>
        </w:tc>
        <w:tc>
          <w:tcPr>
            <w:tcW w:w="1705" w:type="dxa"/>
            <w:noWrap w:val="0"/>
            <w:vAlign w:val="center"/>
          </w:tcPr>
          <w:p>
            <w:pPr>
              <w:jc w:val="center"/>
              <w:rPr>
                <w:rFonts w:hint="eastAsia" w:ascii="仿宋_GB2312" w:hAnsi="宋体" w:eastAsia="仿宋_GB2312"/>
                <w:bCs/>
                <w:sz w:val="28"/>
                <w:szCs w:val="28"/>
              </w:rPr>
            </w:pPr>
            <w:r>
              <w:rPr>
                <w:rFonts w:hint="eastAsia" w:ascii="仿宋_GB2312" w:hAnsi="宋体" w:eastAsia="仿宋_GB2312"/>
                <w:bCs/>
                <w:sz w:val="28"/>
                <w:szCs w:val="28"/>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Merge w:val="continue"/>
            <w:noWrap w:val="0"/>
            <w:vAlign w:val="top"/>
          </w:tcPr>
          <w:p>
            <w:pPr>
              <w:rPr>
                <w:rFonts w:hint="eastAsia" w:ascii="仿宋_GB2312" w:hAnsi="宋体" w:eastAsia="仿宋_GB2312"/>
                <w:bCs/>
                <w:sz w:val="30"/>
                <w:szCs w:val="30"/>
              </w:rPr>
            </w:pPr>
          </w:p>
        </w:tc>
        <w:tc>
          <w:tcPr>
            <w:tcW w:w="1704" w:type="dxa"/>
            <w:noWrap w:val="0"/>
            <w:vAlign w:val="center"/>
          </w:tcPr>
          <w:p>
            <w:pPr>
              <w:jc w:val="center"/>
              <w:rPr>
                <w:rFonts w:hint="eastAsia" w:ascii="仿宋_GB2312" w:hAnsi="宋体" w:eastAsia="仿宋_GB2312"/>
                <w:bCs/>
                <w:sz w:val="28"/>
                <w:szCs w:val="28"/>
              </w:rPr>
            </w:pPr>
            <w:r>
              <w:rPr>
                <w:rFonts w:hint="eastAsia" w:ascii="仿宋_GB2312" w:hAnsi="宋体" w:eastAsia="仿宋_GB2312"/>
                <w:bCs/>
                <w:sz w:val="28"/>
                <w:szCs w:val="28"/>
              </w:rPr>
              <w:t>400以上</w:t>
            </w:r>
          </w:p>
        </w:tc>
        <w:tc>
          <w:tcPr>
            <w:tcW w:w="1704" w:type="dxa"/>
            <w:noWrap w:val="0"/>
            <w:vAlign w:val="center"/>
          </w:tcPr>
          <w:p>
            <w:pPr>
              <w:jc w:val="center"/>
              <w:rPr>
                <w:rFonts w:hint="eastAsia" w:ascii="仿宋_GB2312" w:hAnsi="宋体" w:eastAsia="仿宋_GB2312"/>
                <w:bCs/>
                <w:sz w:val="28"/>
                <w:szCs w:val="28"/>
              </w:rPr>
            </w:pPr>
            <w:r>
              <w:rPr>
                <w:rFonts w:hint="eastAsia" w:ascii="仿宋_GB2312" w:hAnsi="宋体" w:eastAsia="仿宋_GB2312"/>
                <w:bCs/>
                <w:sz w:val="28"/>
                <w:szCs w:val="28"/>
              </w:rPr>
              <w:t>70</w:t>
            </w:r>
          </w:p>
        </w:tc>
        <w:tc>
          <w:tcPr>
            <w:tcW w:w="1705" w:type="dxa"/>
            <w:noWrap w:val="0"/>
            <w:vAlign w:val="center"/>
          </w:tcPr>
          <w:p>
            <w:pPr>
              <w:jc w:val="center"/>
              <w:rPr>
                <w:rFonts w:hint="eastAsia" w:ascii="仿宋_GB2312" w:hAnsi="宋体" w:eastAsia="仿宋_GB2312"/>
                <w:bCs/>
                <w:sz w:val="28"/>
                <w:szCs w:val="28"/>
              </w:rPr>
            </w:pPr>
            <w:r>
              <w:rPr>
                <w:rFonts w:hint="eastAsia" w:ascii="仿宋_GB2312" w:hAnsi="宋体" w:eastAsia="仿宋_GB2312"/>
                <w:bCs/>
                <w:sz w:val="28"/>
                <w:szCs w:val="28"/>
              </w:rPr>
              <w:t>400以上</w:t>
            </w:r>
          </w:p>
        </w:tc>
        <w:tc>
          <w:tcPr>
            <w:tcW w:w="1705" w:type="dxa"/>
            <w:noWrap w:val="0"/>
            <w:vAlign w:val="center"/>
          </w:tcPr>
          <w:p>
            <w:pPr>
              <w:jc w:val="center"/>
              <w:rPr>
                <w:rFonts w:hint="eastAsia" w:ascii="仿宋_GB2312" w:hAnsi="宋体" w:eastAsia="仿宋_GB2312"/>
                <w:bCs/>
                <w:sz w:val="28"/>
                <w:szCs w:val="28"/>
              </w:rPr>
            </w:pPr>
            <w:r>
              <w:rPr>
                <w:rFonts w:hint="eastAsia" w:ascii="仿宋_GB2312" w:hAnsi="宋体" w:eastAsia="仿宋_GB2312"/>
                <w:bCs/>
                <w:sz w:val="28"/>
                <w:szCs w:val="28"/>
              </w:rPr>
              <w:t>不予计算</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注：非专职教师承担教学工作应征得所在部门负责人书面同意后方可安排教学任务。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六、监考费用标准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参加本校课程考试监考按30元/场次计酬金； 参加大学英语四、六级考试按100元/场次计酬金；参加计算机水平考试监考的教师按100元/场次计酬金。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七、教学工作量及其酬金的审核与发放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l.每学期末对下一学期各类教师教学工作量进行预审，对不满足上述原则的老师提前告知其所在院（部）、教研室及其本人，并会同人事处等相关部门协调处理。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2.每学期初对本学期教师教学工作量及酬金进行预算，并将酬金的60%按六个月进行预发。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3.每学年末对本学年教师教学工作量及酬金进行结算并在下一学年初结余酬金进行发放。</w:t>
      </w:r>
    </w:p>
    <w:p>
      <w:pPr>
        <w:keepNext w:val="0"/>
        <w:keepLines w:val="0"/>
        <w:pageBreakBefore w:val="0"/>
        <w:widowControl w:val="0"/>
        <w:kinsoku/>
        <w:wordWrap/>
        <w:overflowPunct/>
        <w:topLinePunct w:val="0"/>
        <w:autoSpaceDE/>
        <w:autoSpaceDN/>
        <w:bidi w:val="0"/>
        <w:adjustRightInd/>
        <w:snapToGrid/>
        <w:spacing w:line="560" w:lineRule="exact"/>
        <w:ind w:firstLine="633" w:firstLineChars="198"/>
        <w:textAlignment w:val="auto"/>
        <w:rPr>
          <w:rFonts w:hint="eastAsia" w:ascii="仿宋" w:hAnsi="仿宋" w:eastAsia="仿宋" w:cs="仿宋"/>
          <w:b w:val="0"/>
          <w:bCs w:val="0"/>
          <w:sz w:val="32"/>
          <w:szCs w:val="32"/>
        </w:rPr>
      </w:pPr>
      <w:r>
        <w:rPr>
          <w:rFonts w:hint="eastAsia" w:ascii="黑体" w:hAnsi="黑体" w:eastAsia="黑体" w:cs="黑体"/>
          <w:b w:val="0"/>
          <w:bCs w:val="0"/>
          <w:sz w:val="32"/>
          <w:szCs w:val="32"/>
        </w:rPr>
        <w:t>八、</w:t>
      </w:r>
      <w:r>
        <w:rPr>
          <w:rFonts w:hint="eastAsia" w:ascii="仿宋" w:hAnsi="仿宋" w:eastAsia="仿宋" w:cs="仿宋"/>
          <w:b w:val="0"/>
          <w:bCs w:val="0"/>
          <w:sz w:val="32"/>
          <w:szCs w:val="32"/>
        </w:rPr>
        <w:t>本规定自发文之日起施行，原《安徽建筑大学城市建设学院教学人员津贴分配暂行办法》同时废止。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z w:val="32"/>
          <w:szCs w:val="32"/>
        </w:rPr>
      </w:pPr>
      <w:r>
        <w:rPr>
          <w:rFonts w:hint="eastAsia" w:ascii="黑体" w:hAnsi="黑体" w:eastAsia="黑体" w:cs="黑体"/>
          <w:b w:val="0"/>
          <w:bCs w:val="0"/>
          <w:sz w:val="32"/>
          <w:szCs w:val="32"/>
        </w:rPr>
        <w:t>九、</w:t>
      </w:r>
      <w:r>
        <w:rPr>
          <w:rFonts w:hint="eastAsia" w:ascii="仿宋" w:hAnsi="仿宋" w:eastAsia="仿宋" w:cs="仿宋"/>
          <w:b w:val="0"/>
          <w:bCs w:val="0"/>
          <w:sz w:val="32"/>
          <w:szCs w:val="32"/>
        </w:rPr>
        <w:t>本规定由教务处负责解释。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附件：合肥城市学院教学工作量计算办法</w:t>
      </w:r>
      <w:r>
        <w:rPr>
          <w:rFonts w:hint="eastAsia" w:ascii="仿宋" w:hAnsi="仿宋" w:eastAsia="仿宋" w:cs="仿宋"/>
          <w:bCs/>
          <w:sz w:val="32"/>
          <w:szCs w:val="32"/>
        </w:rPr>
        <w:tab/>
      </w:r>
    </w:p>
    <w:p>
      <w:pPr>
        <w:rPr>
          <w:rFonts w:hint="eastAsia" w:ascii="仿宋_GB2312" w:hAnsi="宋体" w:eastAsia="仿宋_GB2312"/>
          <w:bCs/>
          <w:sz w:val="30"/>
          <w:szCs w:val="30"/>
        </w:rPr>
      </w:pPr>
    </w:p>
    <w:p>
      <w:pPr>
        <w:rPr>
          <w:rFonts w:hint="eastAsia" w:ascii="仿宋_GB2312" w:hAnsi="宋体" w:eastAsia="仿宋_GB2312"/>
          <w:bCs/>
          <w:sz w:val="30"/>
          <w:szCs w:val="30"/>
        </w:rPr>
      </w:pPr>
    </w:p>
    <w:p>
      <w:pPr>
        <w:rPr>
          <w:rFonts w:hint="eastAsia" w:ascii="仿宋_GB2312" w:hAnsi="宋体" w:eastAsia="仿宋_GB2312"/>
          <w:bCs/>
          <w:sz w:val="30"/>
          <w:szCs w:val="30"/>
        </w:rPr>
      </w:pPr>
    </w:p>
    <w:p>
      <w:pPr>
        <w:rPr>
          <w:rFonts w:hint="eastAsia" w:ascii="仿宋_GB2312" w:hAnsi="宋体" w:eastAsia="仿宋_GB2312"/>
          <w:bCs/>
          <w:sz w:val="30"/>
          <w:szCs w:val="30"/>
        </w:rPr>
      </w:pPr>
    </w:p>
    <w:p>
      <w:pPr>
        <w:rPr>
          <w:rFonts w:hint="eastAsia" w:ascii="仿宋_GB2312" w:hAnsi="宋体" w:eastAsia="仿宋_GB2312"/>
          <w:bCs/>
          <w:sz w:val="30"/>
          <w:szCs w:val="30"/>
        </w:rPr>
      </w:pPr>
    </w:p>
    <w:p>
      <w:pPr>
        <w:rPr>
          <w:rFonts w:hint="eastAsia" w:ascii="仿宋_GB2312" w:hAnsi="宋体" w:eastAsia="仿宋_GB2312"/>
          <w:bCs/>
          <w:sz w:val="30"/>
          <w:szCs w:val="30"/>
        </w:rPr>
      </w:pPr>
    </w:p>
    <w:p>
      <w:pPr>
        <w:rPr>
          <w:rFonts w:hint="eastAsia" w:ascii="仿宋_GB2312" w:hAnsi="宋体" w:eastAsia="仿宋_GB2312"/>
          <w:bCs/>
          <w:sz w:val="30"/>
          <w:szCs w:val="30"/>
        </w:rPr>
      </w:pPr>
    </w:p>
    <w:p>
      <w:pPr>
        <w:rPr>
          <w:rFonts w:hint="eastAsia" w:ascii="仿宋_GB2312" w:hAnsi="宋体" w:eastAsia="仿宋_GB2312"/>
          <w:bCs/>
          <w:sz w:val="30"/>
          <w:szCs w:val="30"/>
        </w:rPr>
      </w:pPr>
    </w:p>
    <w:p>
      <w:pPr>
        <w:rPr>
          <w:rFonts w:hint="eastAsia" w:ascii="仿宋_GB2312" w:hAnsi="宋体" w:eastAsia="仿宋_GB2312"/>
          <w:bCs/>
          <w:sz w:val="30"/>
          <w:szCs w:val="30"/>
        </w:rPr>
      </w:pPr>
    </w:p>
    <w:p>
      <w:pPr>
        <w:rPr>
          <w:rFonts w:hint="eastAsia" w:ascii="仿宋_GB2312" w:hAnsi="宋体" w:eastAsia="仿宋_GB2312"/>
          <w:bCs/>
          <w:sz w:val="30"/>
          <w:szCs w:val="30"/>
        </w:rPr>
      </w:pPr>
    </w:p>
    <w:p>
      <w:pPr>
        <w:rPr>
          <w:rFonts w:hint="eastAsia" w:ascii="仿宋_GB2312" w:hAnsi="宋体" w:eastAsia="仿宋_GB2312"/>
          <w:bCs/>
          <w:sz w:val="30"/>
          <w:szCs w:val="30"/>
        </w:rPr>
      </w:pPr>
    </w:p>
    <w:p>
      <w:pPr>
        <w:rPr>
          <w:rFonts w:hint="eastAsia" w:ascii="仿宋_GB2312" w:hAnsi="宋体" w:eastAsia="仿宋_GB2312"/>
          <w:bCs/>
          <w:sz w:val="30"/>
          <w:szCs w:val="30"/>
        </w:rPr>
      </w:pPr>
    </w:p>
    <w:p>
      <w:pPr>
        <w:rPr>
          <w:rFonts w:hint="eastAsia" w:ascii="仿宋_GB2312" w:hAnsi="宋体" w:eastAsia="仿宋_GB2312"/>
          <w:bCs/>
          <w:sz w:val="30"/>
          <w:szCs w:val="30"/>
        </w:rPr>
      </w:pPr>
    </w:p>
    <w:p>
      <w:pPr>
        <w:rPr>
          <w:rFonts w:hint="eastAsia" w:ascii="黑体" w:hAnsi="黑体" w:eastAsia="黑体" w:cs="黑体"/>
          <w:bCs/>
          <w:sz w:val="32"/>
          <w:szCs w:val="32"/>
        </w:rPr>
      </w:pPr>
      <w:r>
        <w:rPr>
          <w:rFonts w:hint="eastAsia" w:ascii="黑体" w:hAnsi="黑体" w:eastAsia="黑体" w:cs="黑体"/>
          <w:bCs/>
          <w:sz w:val="32"/>
          <w:szCs w:val="32"/>
        </w:rPr>
        <w:t>附件</w:t>
      </w:r>
    </w:p>
    <w:p>
      <w:pPr>
        <w:spacing w:line="720" w:lineRule="auto"/>
        <w:jc w:val="center"/>
        <w:rPr>
          <w:rFonts w:hint="eastAsia" w:ascii="仿宋_GB2312" w:hAnsi="宋体" w:eastAsia="仿宋_GB2312"/>
          <w:bCs/>
          <w:sz w:val="30"/>
          <w:szCs w:val="30"/>
        </w:rPr>
      </w:pPr>
      <w:r>
        <w:rPr>
          <w:rFonts w:hint="eastAsia" w:ascii="方正小标宋简体" w:hAnsi="方正小标宋简体" w:eastAsia="方正小标宋简体" w:cs="方正小标宋简体"/>
          <w:b/>
          <w:bCs w:val="0"/>
          <w:sz w:val="44"/>
          <w:szCs w:val="44"/>
        </w:rPr>
        <w:t>合肥城市学院教学工作量计算办法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Cs/>
          <w:sz w:val="32"/>
          <w:szCs w:val="32"/>
        </w:rPr>
      </w:pPr>
      <w:r>
        <w:rPr>
          <w:rFonts w:hint="eastAsia" w:ascii="黑体" w:hAnsi="黑体" w:eastAsia="黑体" w:cs="黑体"/>
          <w:bCs/>
          <w:sz w:val="32"/>
          <w:szCs w:val="32"/>
        </w:rPr>
        <w:t>一、课堂教学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计算公式：  m1=ΣH×k1×k2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 xml:space="preserve">其中：H----计划学时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 xml:space="preserve">k1----课程类别系数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1</w:t>
      </w:r>
      <w:r>
        <w:rPr>
          <w:rFonts w:hint="eastAsia" w:ascii="仿宋" w:hAnsi="仿宋" w:eastAsia="仿宋" w:cs="仿宋"/>
          <w:bCs/>
          <w:sz w:val="32"/>
          <w:szCs w:val="32"/>
          <w:lang w:eastAsia="zh-CN"/>
        </w:rPr>
        <w:t>）</w:t>
      </w:r>
      <w:r>
        <w:rPr>
          <w:rFonts w:hint="eastAsia" w:ascii="仿宋" w:hAnsi="仿宋" w:eastAsia="仿宋" w:cs="仿宋"/>
          <w:bCs/>
          <w:sz w:val="32"/>
          <w:szCs w:val="32"/>
        </w:rPr>
        <w:t>公共基础课、通识教育课、专业基础课、专业课为1；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2</w:t>
      </w:r>
      <w:r>
        <w:rPr>
          <w:rFonts w:hint="eastAsia" w:ascii="仿宋" w:hAnsi="仿宋" w:eastAsia="仿宋" w:cs="仿宋"/>
          <w:bCs/>
          <w:sz w:val="32"/>
          <w:szCs w:val="32"/>
          <w:lang w:eastAsia="zh-CN"/>
        </w:rPr>
        <w:t>）</w:t>
      </w:r>
      <w:r>
        <w:rPr>
          <w:rFonts w:hint="eastAsia" w:ascii="仿宋" w:hAnsi="仿宋" w:eastAsia="仿宋" w:cs="仿宋"/>
          <w:bCs/>
          <w:sz w:val="32"/>
          <w:szCs w:val="32"/>
        </w:rPr>
        <w:t>形势政策课、全校性公选课为1.15；</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3</w:t>
      </w:r>
      <w:r>
        <w:rPr>
          <w:rFonts w:hint="eastAsia" w:ascii="仿宋" w:hAnsi="仿宋" w:eastAsia="仿宋" w:cs="仿宋"/>
          <w:bCs/>
          <w:sz w:val="32"/>
          <w:szCs w:val="32"/>
          <w:lang w:eastAsia="zh-CN"/>
        </w:rPr>
        <w:t>）</w:t>
      </w:r>
      <w:r>
        <w:rPr>
          <w:rFonts w:hint="eastAsia" w:ascii="仿宋" w:hAnsi="仿宋" w:eastAsia="仿宋" w:cs="仿宋"/>
          <w:bCs/>
          <w:sz w:val="32"/>
          <w:szCs w:val="32"/>
        </w:rPr>
        <w:t>体育课为0.9；</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4</w:t>
      </w:r>
      <w:r>
        <w:rPr>
          <w:rFonts w:hint="eastAsia" w:ascii="仿宋" w:hAnsi="仿宋" w:eastAsia="仿宋" w:cs="仿宋"/>
          <w:bCs/>
          <w:sz w:val="32"/>
          <w:szCs w:val="32"/>
          <w:lang w:eastAsia="zh-CN"/>
        </w:rPr>
        <w:t>）</w:t>
      </w:r>
      <w:r>
        <w:rPr>
          <w:rFonts w:hint="eastAsia" w:ascii="仿宋" w:hAnsi="仿宋" w:eastAsia="仿宋" w:cs="仿宋"/>
          <w:bCs/>
          <w:sz w:val="32"/>
          <w:szCs w:val="32"/>
        </w:rPr>
        <w:t>建筑、规划、园林、环境设计类课程为1（以每人指导20人计）。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k2----合班系数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1</w:t>
      </w:r>
      <w:r>
        <w:rPr>
          <w:rFonts w:hint="eastAsia" w:ascii="仿宋" w:hAnsi="仿宋" w:eastAsia="仿宋" w:cs="仿宋"/>
          <w:bCs/>
          <w:sz w:val="32"/>
          <w:szCs w:val="32"/>
          <w:lang w:eastAsia="zh-CN"/>
        </w:rPr>
        <w:t>）</w:t>
      </w:r>
      <w:r>
        <w:rPr>
          <w:rFonts w:hint="eastAsia" w:ascii="仿宋" w:hAnsi="仿宋" w:eastAsia="仿宋" w:cs="仿宋"/>
          <w:bCs/>
          <w:sz w:val="32"/>
          <w:szCs w:val="32"/>
        </w:rPr>
        <w:t>一个自然班（40人左右）取1；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2</w:t>
      </w:r>
      <w:r>
        <w:rPr>
          <w:rFonts w:hint="eastAsia" w:ascii="仿宋" w:hAnsi="仿宋" w:eastAsia="仿宋" w:cs="仿宋"/>
          <w:bCs/>
          <w:sz w:val="32"/>
          <w:szCs w:val="32"/>
          <w:lang w:eastAsia="zh-CN"/>
        </w:rPr>
        <w:t>）</w:t>
      </w:r>
      <w:r>
        <w:rPr>
          <w:rFonts w:hint="eastAsia" w:ascii="仿宋" w:hAnsi="仿宋" w:eastAsia="仿宋" w:cs="仿宋"/>
          <w:bCs/>
          <w:sz w:val="32"/>
          <w:szCs w:val="32"/>
        </w:rPr>
        <w:t>两个自然班合班，取1.3；</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3</w:t>
      </w:r>
      <w:r>
        <w:rPr>
          <w:rFonts w:hint="eastAsia" w:ascii="仿宋" w:hAnsi="仿宋" w:eastAsia="仿宋" w:cs="仿宋"/>
          <w:bCs/>
          <w:sz w:val="32"/>
          <w:szCs w:val="32"/>
          <w:lang w:eastAsia="zh-CN"/>
        </w:rPr>
        <w:t>）</w:t>
      </w:r>
      <w:r>
        <w:rPr>
          <w:rFonts w:hint="eastAsia" w:ascii="仿宋" w:hAnsi="仿宋" w:eastAsia="仿宋" w:cs="仿宋"/>
          <w:bCs/>
          <w:sz w:val="32"/>
          <w:szCs w:val="32"/>
        </w:rPr>
        <w:t>三个及三个以上自然班合班，系数在1.3基础上，每增加一个班增加0.15；</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4</w:t>
      </w:r>
      <w:r>
        <w:rPr>
          <w:rFonts w:hint="eastAsia" w:ascii="仿宋" w:hAnsi="仿宋" w:eastAsia="仿宋" w:cs="仿宋"/>
          <w:bCs/>
          <w:sz w:val="32"/>
          <w:szCs w:val="32"/>
          <w:lang w:eastAsia="zh-CN"/>
        </w:rPr>
        <w:t>）</w:t>
      </w:r>
      <w:r>
        <w:rPr>
          <w:rFonts w:hint="eastAsia" w:ascii="仿宋" w:hAnsi="仿宋" w:eastAsia="仿宋" w:cs="仿宋"/>
          <w:bCs/>
          <w:sz w:val="32"/>
          <w:szCs w:val="32"/>
        </w:rPr>
        <w:t xml:space="preserve">若实际人数超过标准班（40人或20人）一半，按增加一个合班计。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（1）助课教师工作量为0.4×主讲教师工作量；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（2）一学年两学期教学质量考核均为所属系部前10%，当学年课堂教学工作量乘1.2；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（3）一学年两学期教学质量考核均为所属</w:t>
      </w:r>
      <w:r>
        <w:rPr>
          <w:rFonts w:hint="eastAsia" w:ascii="仿宋" w:hAnsi="仿宋" w:eastAsia="仿宋" w:cs="仿宋"/>
          <w:bCs/>
          <w:sz w:val="32"/>
          <w:szCs w:val="32"/>
          <w:lang w:val="en-US" w:eastAsia="zh-CN"/>
        </w:rPr>
        <w:t>院（部）</w:t>
      </w:r>
      <w:r>
        <w:rPr>
          <w:rFonts w:hint="eastAsia" w:ascii="仿宋" w:hAnsi="仿宋" w:eastAsia="仿宋" w:cs="仿宋"/>
          <w:bCs/>
          <w:sz w:val="32"/>
          <w:szCs w:val="32"/>
        </w:rPr>
        <w:t>后10%，本学年课堂教学工作量乘0.9。</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Cs/>
          <w:sz w:val="32"/>
          <w:szCs w:val="32"/>
        </w:rPr>
      </w:pPr>
      <w:r>
        <w:rPr>
          <w:rFonts w:hint="eastAsia" w:ascii="黑体" w:hAnsi="黑体" w:eastAsia="黑体" w:cs="黑体"/>
          <w:bCs/>
          <w:sz w:val="32"/>
          <w:szCs w:val="32"/>
        </w:rPr>
        <w:t>二、实验教学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计算公式：m2=∑单个实验项目的计划标时×0.8</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实验教学为20人（上机教学40人）一组，在同一时刻每位教师原则上只能辅导一组学生，其工作量为：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实验教学工作量=计划标时×0.8</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如一位教师同时指导两组学生时，其工作量为：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实验教学工作量=计划学时×0.8+计划学时×0.5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Cs/>
          <w:sz w:val="32"/>
          <w:szCs w:val="32"/>
        </w:rPr>
      </w:pPr>
      <w:r>
        <w:rPr>
          <w:rFonts w:hint="eastAsia" w:ascii="黑体" w:hAnsi="黑体" w:eastAsia="黑体" w:cs="黑体"/>
          <w:bCs/>
          <w:sz w:val="32"/>
          <w:szCs w:val="32"/>
        </w:rPr>
        <w:t>三、集中实践节环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计算公式：m=ΣW×P×k</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 xml:space="preserve">其中：W---周数    P---指导学生人数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K----类别系数,取值如下：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1</w:t>
      </w:r>
      <w:r>
        <w:rPr>
          <w:rFonts w:hint="eastAsia" w:ascii="仿宋" w:hAnsi="仿宋" w:eastAsia="仿宋" w:cs="仿宋"/>
          <w:bCs/>
          <w:sz w:val="32"/>
          <w:szCs w:val="32"/>
          <w:lang w:eastAsia="zh-CN"/>
        </w:rPr>
        <w:t>）</w:t>
      </w:r>
      <w:r>
        <w:rPr>
          <w:rFonts w:hint="eastAsia" w:ascii="仿宋" w:hAnsi="仿宋" w:eastAsia="仿宋" w:cs="仿宋"/>
          <w:bCs/>
          <w:sz w:val="32"/>
          <w:szCs w:val="32"/>
        </w:rPr>
        <w:t xml:space="preserve">课程设计（论文）取0.5；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2</w:t>
      </w:r>
      <w:r>
        <w:rPr>
          <w:rFonts w:hint="eastAsia" w:ascii="仿宋" w:hAnsi="仿宋" w:eastAsia="仿宋" w:cs="仿宋"/>
          <w:bCs/>
          <w:sz w:val="32"/>
          <w:szCs w:val="32"/>
          <w:lang w:eastAsia="zh-CN"/>
        </w:rPr>
        <w:t>）</w:t>
      </w:r>
      <w:r>
        <w:rPr>
          <w:rFonts w:hint="eastAsia" w:ascii="仿宋" w:hAnsi="仿宋" w:eastAsia="仿宋" w:cs="仿宋"/>
          <w:bCs/>
          <w:sz w:val="32"/>
          <w:szCs w:val="32"/>
        </w:rPr>
        <w:t>建筑、规划、环境设计、风景园林专业课程设计取0.6；</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3</w:t>
      </w:r>
      <w:r>
        <w:rPr>
          <w:rFonts w:hint="eastAsia" w:ascii="仿宋" w:hAnsi="仿宋" w:eastAsia="仿宋" w:cs="仿宋"/>
          <w:bCs/>
          <w:sz w:val="32"/>
          <w:szCs w:val="32"/>
          <w:lang w:eastAsia="zh-CN"/>
        </w:rPr>
        <w:t>）</w:t>
      </w:r>
      <w:r>
        <w:rPr>
          <w:rFonts w:hint="eastAsia" w:ascii="仿宋" w:hAnsi="仿宋" w:eastAsia="仿宋" w:cs="仿宋"/>
          <w:bCs/>
          <w:sz w:val="32"/>
          <w:szCs w:val="32"/>
        </w:rPr>
        <w:t>毕业设计（论文）取1；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4</w:t>
      </w:r>
      <w:r>
        <w:rPr>
          <w:rFonts w:hint="eastAsia" w:ascii="仿宋" w:hAnsi="仿宋" w:eastAsia="仿宋" w:cs="仿宋"/>
          <w:bCs/>
          <w:sz w:val="32"/>
          <w:szCs w:val="32"/>
          <w:lang w:eastAsia="zh-CN"/>
        </w:rPr>
        <w:t>）</w:t>
      </w:r>
      <w:r>
        <w:rPr>
          <w:rFonts w:hint="eastAsia" w:ascii="仿宋" w:hAnsi="仿宋" w:eastAsia="仿宋" w:cs="仿宋"/>
          <w:bCs/>
          <w:sz w:val="32"/>
          <w:szCs w:val="32"/>
        </w:rPr>
        <w:t>美术写生实习有老师带队的，市外取0.8，市内取0.6；</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5</w:t>
      </w:r>
      <w:r>
        <w:rPr>
          <w:rFonts w:hint="eastAsia" w:ascii="仿宋" w:hAnsi="仿宋" w:eastAsia="仿宋" w:cs="仿宋"/>
          <w:bCs/>
          <w:sz w:val="32"/>
          <w:szCs w:val="32"/>
          <w:lang w:eastAsia="zh-CN"/>
        </w:rPr>
        <w:t>）</w:t>
      </w:r>
      <w:r>
        <w:rPr>
          <w:rFonts w:hint="eastAsia" w:ascii="仿宋" w:hAnsi="仿宋" w:eastAsia="仿宋" w:cs="仿宋"/>
          <w:bCs/>
          <w:sz w:val="32"/>
          <w:szCs w:val="32"/>
        </w:rPr>
        <w:t>金工实习校外取0.3，校内取0.2；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6</w:t>
      </w:r>
      <w:r>
        <w:rPr>
          <w:rFonts w:hint="eastAsia" w:ascii="仿宋" w:hAnsi="仿宋" w:eastAsia="仿宋" w:cs="仿宋"/>
          <w:bCs/>
          <w:sz w:val="32"/>
          <w:szCs w:val="32"/>
          <w:lang w:eastAsia="zh-CN"/>
        </w:rPr>
        <w:t>）</w:t>
      </w:r>
      <w:r>
        <w:rPr>
          <w:rFonts w:hint="eastAsia" w:ascii="仿宋" w:hAnsi="仿宋" w:eastAsia="仿宋" w:cs="仿宋"/>
          <w:bCs/>
          <w:sz w:val="32"/>
          <w:szCs w:val="32"/>
        </w:rPr>
        <w:t>认识实习、生产实习、毕业实习、企业与专业综合实习等市外集中（指导教师驻点）取0.7，市内集中（指导教师驻点）取0.5；分散取0.3；理实融合集中教学环节取0.3。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注</w:t>
      </w: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1</w:t>
      </w:r>
      <w:r>
        <w:rPr>
          <w:rFonts w:hint="eastAsia" w:ascii="仿宋" w:hAnsi="仿宋" w:eastAsia="仿宋" w:cs="仿宋"/>
          <w:bCs/>
          <w:sz w:val="32"/>
          <w:szCs w:val="32"/>
          <w:lang w:eastAsia="zh-CN"/>
        </w:rPr>
        <w:t>）</w:t>
      </w:r>
      <w:r>
        <w:rPr>
          <w:rFonts w:hint="eastAsia" w:ascii="仿宋" w:hAnsi="仿宋" w:eastAsia="仿宋" w:cs="仿宋"/>
          <w:bCs/>
          <w:sz w:val="32"/>
          <w:szCs w:val="32"/>
        </w:rPr>
        <w:t>实习每班（40人）不少于2位教师，如每班仅有一位教师，计重复系数0.5。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2</w:t>
      </w:r>
      <w:r>
        <w:rPr>
          <w:rFonts w:hint="eastAsia" w:ascii="仿宋" w:hAnsi="仿宋" w:eastAsia="仿宋" w:cs="仿宋"/>
          <w:bCs/>
          <w:sz w:val="32"/>
          <w:szCs w:val="32"/>
          <w:lang w:eastAsia="zh-CN"/>
        </w:rPr>
        <w:t>）</w:t>
      </w:r>
      <w:r>
        <w:rPr>
          <w:rFonts w:hint="eastAsia" w:ascii="仿宋" w:hAnsi="仿宋" w:eastAsia="仿宋" w:cs="仿宋"/>
          <w:bCs/>
          <w:sz w:val="32"/>
          <w:szCs w:val="32"/>
        </w:rPr>
        <w:t>其他集中实践环节（含理实融合集中教学环节），同一名称的集中实践教学环节每位指导老师指导不宜超过20人，如超出，计重复系数0.5。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3</w:t>
      </w:r>
      <w:r>
        <w:rPr>
          <w:rFonts w:hint="eastAsia" w:ascii="仿宋" w:hAnsi="仿宋" w:eastAsia="仿宋" w:cs="仿宋"/>
          <w:bCs/>
          <w:sz w:val="32"/>
          <w:szCs w:val="32"/>
          <w:lang w:eastAsia="zh-CN"/>
        </w:rPr>
        <w:t>）</w:t>
      </w:r>
      <w:r>
        <w:rPr>
          <w:rFonts w:hint="eastAsia" w:ascii="仿宋" w:hAnsi="仿宋" w:eastAsia="仿宋" w:cs="仿宋"/>
          <w:bCs/>
          <w:sz w:val="32"/>
          <w:szCs w:val="32"/>
        </w:rPr>
        <w:t xml:space="preserve">“两课”实践教学工作量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 xml:space="preserve">工作量=计划标时×班数×0.3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sz w:val="32"/>
          <w:szCs w:val="32"/>
        </w:rPr>
      </w:pPr>
      <w:r>
        <w:rPr>
          <w:rFonts w:hint="eastAsia" w:ascii="黑体" w:hAnsi="黑体" w:eastAsia="黑体" w:cs="黑体"/>
          <w:bCs/>
          <w:sz w:val="32"/>
          <w:szCs w:val="32"/>
        </w:rPr>
        <w:t xml:space="preserve">四、其它工作量 </w:t>
      </w:r>
      <w:r>
        <w:rPr>
          <w:rFonts w:hint="eastAsia" w:ascii="仿宋" w:hAnsi="仿宋" w:eastAsia="仿宋" w:cs="仿宋"/>
          <w:bCs/>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1</w:t>
      </w:r>
      <w:r>
        <w:rPr>
          <w:rFonts w:hint="eastAsia" w:ascii="仿宋" w:hAnsi="仿宋" w:eastAsia="仿宋" w:cs="仿宋"/>
          <w:bCs/>
          <w:sz w:val="32"/>
          <w:szCs w:val="32"/>
          <w:lang w:eastAsia="zh-CN"/>
        </w:rPr>
        <w:t>）</w:t>
      </w:r>
      <w:r>
        <w:rPr>
          <w:rFonts w:hint="eastAsia" w:ascii="仿宋" w:hAnsi="仿宋" w:eastAsia="仿宋" w:cs="仿宋"/>
          <w:bCs/>
          <w:sz w:val="32"/>
          <w:szCs w:val="32"/>
        </w:rPr>
        <w:t>编写实验讲义指导书，记10标时/每万字；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sz w:val="32"/>
          <w:szCs w:val="32"/>
          <w:lang w:eastAsia="zh-CN"/>
        </w:rPr>
      </w:pP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2</w:t>
      </w:r>
      <w:r>
        <w:rPr>
          <w:rFonts w:hint="eastAsia" w:ascii="仿宋" w:hAnsi="仿宋" w:eastAsia="仿宋" w:cs="仿宋"/>
          <w:bCs/>
          <w:sz w:val="32"/>
          <w:szCs w:val="32"/>
          <w:lang w:eastAsia="zh-CN"/>
        </w:rPr>
        <w:t>）</w:t>
      </w:r>
      <w:r>
        <w:rPr>
          <w:rFonts w:hint="eastAsia" w:ascii="仿宋" w:hAnsi="仿宋" w:eastAsia="仿宋" w:cs="仿宋"/>
          <w:bCs/>
          <w:sz w:val="32"/>
          <w:szCs w:val="32"/>
        </w:rPr>
        <w:t>实验教师（坐班）每学年增加100标时</w:t>
      </w:r>
      <w:r>
        <w:rPr>
          <w:rFonts w:hint="eastAsia" w:ascii="仿宋" w:hAnsi="仿宋" w:eastAsia="仿宋" w:cs="仿宋"/>
          <w:bCs/>
          <w:sz w:val="32"/>
          <w:szCs w:val="32"/>
          <w:lang w:eastAsia="zh-CN"/>
        </w:rPr>
        <w:t>。</w:t>
      </w:r>
    </w:p>
    <w:p>
      <w:pPr>
        <w:rPr>
          <w:rFonts w:hint="eastAsia" w:ascii="仿宋_GB2312" w:hAnsi="宋体" w:eastAsia="仿宋_GB2312"/>
          <w:bCs/>
          <w:sz w:val="30"/>
          <w:szCs w:val="30"/>
        </w:rPr>
      </w:pPr>
    </w:p>
    <w:p>
      <w:pPr>
        <w:widowControl/>
        <w:snapToGrid w:val="0"/>
        <w:spacing w:line="400" w:lineRule="exact"/>
        <w:ind w:firstLine="600" w:firstLineChars="200"/>
        <w:jc w:val="center"/>
        <w:rPr>
          <w:rFonts w:hint="eastAsia" w:ascii="仿宋_GB2312" w:hAnsi="宋体" w:eastAsia="仿宋_GB2312" w:cs="宋体-方正超大字符集"/>
          <w:color w:val="000000"/>
          <w:kern w:val="0"/>
          <w:sz w:val="30"/>
          <w:szCs w:val="30"/>
        </w:rPr>
      </w:pPr>
    </w:p>
    <w:p>
      <w:pPr>
        <w:rPr>
          <w:rFonts w:hint="eastAsia"/>
          <w:sz w:val="30"/>
          <w:szCs w:val="30"/>
        </w:rPr>
      </w:pPr>
    </w:p>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tbl>
      <w:tblPr>
        <w:tblStyle w:val="7"/>
        <w:tblpPr w:leftFromText="180" w:rightFromText="180" w:vertAnchor="text" w:horzAnchor="page" w:tblpXSpec="center" w:tblpY="1410"/>
        <w:tblOverlap w:val="never"/>
        <w:tblW w:w="0" w:type="auto"/>
        <w:jc w:val="center"/>
        <w:tblBorders>
          <w:top w:val="single" w:color="auto" w:sz="12" w:space="0"/>
          <w:left w:val="none" w:color="auto" w:sz="0" w:space="0"/>
          <w:bottom w:val="single" w:color="auto" w:sz="12"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8709"/>
      </w:tblGrid>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90" w:hRule="exact"/>
          <w:jc w:val="center"/>
        </w:trPr>
        <w:tc>
          <w:tcPr>
            <w:tcW w:w="8709"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520" w:lineRule="exact"/>
              <w:ind w:right="0" w:rightChars="0" w:firstLine="280" w:firstLineChars="100"/>
              <w:jc w:val="both"/>
              <w:textAlignment w:val="auto"/>
              <w:rPr>
                <w:rFonts w:hint="default" w:ascii="仿宋_GB2312" w:hAnsi="仿宋_GB2312" w:eastAsia="仿宋_GB2312" w:cs="仿宋_GB2312"/>
                <w:b w:val="0"/>
                <w:bCs w:val="0"/>
                <w:color w:val="auto"/>
                <w:spacing w:val="0"/>
                <w:sz w:val="28"/>
                <w:szCs w:val="28"/>
                <w:vertAlign w:val="baseline"/>
                <w:lang w:val="en-US" w:eastAsia="zh-CN"/>
              </w:rPr>
            </w:pPr>
            <w:r>
              <w:rPr>
                <w:rFonts w:hint="eastAsia" w:ascii="仿宋_GB2312" w:hAnsi="仿宋_GB2312" w:eastAsia="仿宋_GB2312" w:cs="仿宋_GB2312"/>
                <w:b w:val="0"/>
                <w:bCs w:val="0"/>
                <w:color w:val="auto"/>
                <w:spacing w:val="0"/>
                <w:sz w:val="28"/>
                <w:szCs w:val="28"/>
                <w:vertAlign w:val="baseline"/>
                <w:lang w:val="en-US" w:eastAsia="zh-CN"/>
              </w:rPr>
              <w:t>抄报：校董事会、党政领导。</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90" w:hRule="exact"/>
          <w:jc w:val="center"/>
        </w:trPr>
        <w:tc>
          <w:tcPr>
            <w:tcW w:w="8709" w:type="dxa"/>
            <w:tcBorders>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line="520" w:lineRule="exact"/>
              <w:ind w:right="0" w:rightChars="0" w:firstLine="280" w:firstLineChars="100"/>
              <w:jc w:val="both"/>
              <w:textAlignment w:val="auto"/>
              <w:rPr>
                <w:rFonts w:hint="eastAsia" w:ascii="仿宋_GB2312" w:hAnsi="仿宋_GB2312" w:eastAsia="仿宋_GB2312" w:cs="仿宋_GB2312"/>
                <w:b w:val="0"/>
                <w:bCs w:val="0"/>
                <w:color w:val="auto"/>
                <w:spacing w:val="0"/>
                <w:sz w:val="28"/>
                <w:szCs w:val="28"/>
                <w:vertAlign w:val="baseline"/>
                <w:lang w:val="en-US" w:eastAsia="zh-CN"/>
              </w:rPr>
            </w:pPr>
            <w:r>
              <w:rPr>
                <w:rFonts w:hint="eastAsia" w:ascii="仿宋_GB2312" w:hAnsi="仿宋_GB2312" w:eastAsia="仿宋_GB2312" w:cs="仿宋_GB2312"/>
                <w:b w:val="0"/>
                <w:bCs w:val="0"/>
                <w:color w:val="auto"/>
                <w:spacing w:val="0"/>
                <w:sz w:val="28"/>
                <w:szCs w:val="28"/>
                <w:vertAlign w:val="baseline"/>
                <w:lang w:val="en-US" w:eastAsia="zh-CN"/>
              </w:rPr>
              <w:t xml:space="preserve">合肥城市学院办公室                    </w:t>
            </w:r>
            <w:r>
              <w:rPr>
                <w:rFonts w:hint="eastAsia" w:ascii="仿宋_GB2312" w:hAnsi="仿宋_GB2312" w:eastAsia="仿宋_GB2312" w:cs="仿宋_GB2312"/>
                <w:b w:val="0"/>
                <w:bCs w:val="0"/>
                <w:color w:val="auto"/>
                <w:spacing w:val="0"/>
                <w:sz w:val="28"/>
                <w:szCs w:val="28"/>
                <w:lang w:val="en-US" w:eastAsia="zh-CN"/>
              </w:rPr>
              <w:t>2022年11月5日印发</w:t>
            </w:r>
          </w:p>
        </w:tc>
      </w:tr>
    </w:tbl>
    <w:p>
      <w:pPr>
        <w:keepNext w:val="0"/>
        <w:keepLines w:val="0"/>
        <w:pageBreakBefore w:val="0"/>
        <w:widowControl w:val="0"/>
        <w:kinsoku/>
        <w:wordWrap/>
        <w:overflowPunct/>
        <w:topLinePunct w:val="0"/>
        <w:autoSpaceDE/>
        <w:autoSpaceDN/>
        <w:bidi w:val="0"/>
        <w:adjustRightInd/>
        <w:snapToGrid/>
        <w:spacing w:line="100" w:lineRule="exact"/>
        <w:ind w:right="0" w:rightChars="0"/>
        <w:jc w:val="both"/>
        <w:textAlignment w:val="auto"/>
        <w:outlineLvl w:val="9"/>
        <w:rPr>
          <w:rFonts w:hint="default" w:ascii="仿宋" w:hAnsi="仿宋" w:eastAsia="仿宋" w:cs="仿宋"/>
          <w:b w:val="0"/>
          <w:bCs w:val="0"/>
          <w:sz w:val="32"/>
          <w:szCs w:val="32"/>
          <w:lang w:val="en-US" w:eastAsia="zh-CN"/>
        </w:rPr>
      </w:pPr>
    </w:p>
    <w:sectPr>
      <w:footerReference r:id="rId3" w:type="default"/>
      <w:footerReference r:id="rId4" w:type="even"/>
      <w:pgSz w:w="11906" w:h="16838"/>
      <w:pgMar w:top="1984" w:right="1587" w:bottom="1928" w:left="1587" w:header="851" w:footer="1559" w:gutter="0"/>
      <w:pgBorders>
        <w:top w:val="none" w:sz="0" w:space="0"/>
        <w:left w:val="none" w:sz="0" w:space="0"/>
        <w:bottom w:val="none" w:sz="0" w:space="0"/>
        <w:right w:val="none" w:sz="0" w:space="0"/>
      </w:pgBorders>
      <w:pgNumType w:fmt="decimal"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Cambria">
    <w:altName w:val="Palatino Linotype"/>
    <w:panose1 w:val="02040503050406030204"/>
    <w:charset w:val="00"/>
    <w:family w:val="roman"/>
    <w:pitch w:val="default"/>
    <w:sig w:usb0="00000000" w:usb1="00000000" w:usb2="02000000" w:usb3="00000000" w:csb0="2000019F" w:csb1="00000000"/>
  </w:font>
  <w:font w:name="Palatino Linotype">
    <w:panose1 w:val="02040502050505030304"/>
    <w:charset w:val="00"/>
    <w:family w:val="auto"/>
    <w:pitch w:val="default"/>
    <w:sig w:usb0="E0000287" w:usb1="40000013" w:usb2="00000000" w:usb3="00000000" w:csb0="2000019F" w:csb1="00000000"/>
  </w:font>
  <w:font w:name="Adobe 黑体 Std R">
    <w:altName w:val="黑体"/>
    <w:panose1 w:val="00000000000000000000"/>
    <w:charset w:val="86"/>
    <w:family w:val="swiss"/>
    <w:pitch w:val="default"/>
    <w:sig w:usb0="00000000" w:usb1="00000000" w:usb2="00000010" w:usb3="00000000" w:csb0="00060007"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大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宋体-方正超大字符集">
    <w:altName w:val="宋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posOffset>4987925</wp:posOffset>
              </wp:positionH>
              <wp:positionV relativeFrom="paragraph">
                <wp:posOffset>50800</wp:posOffset>
              </wp:positionV>
              <wp:extent cx="1828800" cy="1828800"/>
              <wp:effectExtent l="0" t="0" r="0" b="0"/>
              <wp:wrapNone/>
              <wp:docPr id="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宋体"/>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r>
                            <w:rPr>
                              <w:rFonts w:hint="eastAsia"/>
                              <w:sz w:val="28"/>
                              <w:szCs w:val="28"/>
                              <w:lang w:eastAsia="zh-CN"/>
                            </w:rPr>
                            <w:t xml:space="preserve"> —</w:t>
                          </w:r>
                        </w:p>
                      </w:txbxContent>
                    </wps:txbx>
                    <wps:bodyPr vert="horz" wrap="none" lIns="0" tIns="0" rIns="0" bIns="0" anchor="t" anchorCtr="0" upright="0">
                      <a:spAutoFit/>
                    </wps:bodyPr>
                  </wps:wsp>
                </a:graphicData>
              </a:graphic>
            </wp:anchor>
          </w:drawing>
        </mc:Choice>
        <mc:Fallback>
          <w:pict>
            <v:shape id="文本框 13" o:spid="_x0000_s1026" o:spt="202" type="#_x0000_t202" style="position:absolute;left:0pt;margin-left:392.75pt;margin-top:4pt;height:144pt;width:144pt;mso-position-horizontal-relative:margin;mso-wrap-style:none;z-index:251659264;mso-width-relative:page;mso-height-relative:page;" filled="f" stroked="f" coordsize="21600,21600" o:gfxdata="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4qwk8tYAAAAKAQAADwAA&#10;AAAAAAABACAAAAAiAAAAZHJzL2Rvd25yZXYueG1sUEsBAhQAFAAAAAgAh07iQObIBaXfAQAAvwMA&#10;AA4AAAAAAAAAAQAgAAAAJQEAAGRycy9lMm9Eb2MueG1sUEsFBgAAAAAGAAYAWQEAAHYFAAAAAA==&#10;">
              <v:fill on="f" focussize="0,0"/>
              <v:stroke on="f"/>
              <v:imagedata o:title=""/>
              <o:lock v:ext="edit" aspectratio="f"/>
              <v:textbox inset="0mm,0mm,0mm,0mm" style="mso-fit-shape-to-text:t;">
                <w:txbxContent>
                  <w:p>
                    <w:pPr>
                      <w:pStyle w:val="4"/>
                      <w:rPr>
                        <w:rFonts w:hint="eastAsia" w:eastAsia="宋体"/>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r>
                      <w:rPr>
                        <w:rFonts w:hint="eastAsia"/>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posOffset>-3810</wp:posOffset>
              </wp:positionH>
              <wp:positionV relativeFrom="paragraph">
                <wp:posOffset>0</wp:posOffset>
              </wp:positionV>
              <wp:extent cx="1828800" cy="1828800"/>
              <wp:effectExtent l="0" t="0" r="0" b="0"/>
              <wp:wrapNone/>
              <wp:docPr id="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lang w:eastAsia="zh-CN"/>
                            </w:rPr>
                          </w:pPr>
                          <w:r>
                            <w:rPr>
                              <w:rFonts w:hint="eastAsia" w:ascii="宋体" w:hAnsi="宋体" w:cs="宋体"/>
                              <w:sz w:val="28"/>
                              <w:szCs w:val="28"/>
                              <w:lang w:eastAsia="zh-CN"/>
                            </w:rPr>
                            <w:t xml:space="preserve">— </w:t>
                          </w: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2</w:t>
                          </w:r>
                          <w:r>
                            <w:rPr>
                              <w:rFonts w:hint="eastAsia" w:ascii="宋体" w:hAnsi="宋体" w:cs="宋体"/>
                              <w:sz w:val="28"/>
                              <w:szCs w:val="28"/>
                              <w:lang w:eastAsia="zh-CN"/>
                            </w:rPr>
                            <w:fldChar w:fldCharType="end"/>
                          </w:r>
                          <w:r>
                            <w:rPr>
                              <w:rFonts w:hint="eastAsia" w:ascii="宋体" w:hAnsi="宋体" w:cs="宋体"/>
                              <w:sz w:val="28"/>
                              <w:szCs w:val="28"/>
                              <w:lang w:eastAsia="zh-CN"/>
                            </w:rPr>
                            <w:t xml:space="preserve"> —</w:t>
                          </w:r>
                        </w:p>
                      </w:txbxContent>
                    </wps:txbx>
                    <wps:bodyPr vert="horz" wrap="none" lIns="0" tIns="0" rIns="0" bIns="0" anchor="t" anchorCtr="0" upright="0">
                      <a:spAutoFit/>
                    </wps:bodyPr>
                  </wps:wsp>
                </a:graphicData>
              </a:graphic>
            </wp:anchor>
          </w:drawing>
        </mc:Choice>
        <mc:Fallback>
          <w:pict>
            <v:shape id="文本框 14" o:spid="_x0000_s1026" o:spt="202" type="#_x0000_t202" style="position:absolute;left:0pt;margin-left:-0.3pt;margin-top:0pt;height:144pt;width:144pt;mso-position-horizontal-relative:margin;mso-wrap-style:none;z-index:251660288;mso-width-relative:page;mso-height-relative:page;" filled="f" stroked="f" coordsize="21600,21600" o:gfxdata="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a7yjctMAAAAGAQAADwAAAAAA&#10;AAABACAAAAAiAAAAZHJzL2Rvd25yZXYueG1sUEsBAhQAFAAAAAgAh07iQDNUAkDfAQAAvwMAAA4A&#10;AAAAAAAAAQAgAAAAIgEAAGRycy9lMm9Eb2MueG1sUEsFBgAAAAAGAAYAWQEAAHMFAAAAAA==&#10;">
              <v:fill on="f" focussize="0,0"/>
              <v:stroke on="f"/>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cs="宋体"/>
                        <w:sz w:val="28"/>
                        <w:szCs w:val="28"/>
                        <w:lang w:eastAsia="zh-CN"/>
                      </w:rPr>
                      <w:t xml:space="preserve">— </w:t>
                    </w: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2</w:t>
                    </w:r>
                    <w:r>
                      <w:rPr>
                        <w:rFonts w:hint="eastAsia" w:ascii="宋体" w:hAnsi="宋体" w:cs="宋体"/>
                        <w:sz w:val="28"/>
                        <w:szCs w:val="28"/>
                        <w:lang w:eastAsia="zh-CN"/>
                      </w:rPr>
                      <w:fldChar w:fldCharType="end"/>
                    </w:r>
                    <w:r>
                      <w:rPr>
                        <w:rFonts w:hint="eastAsia" w:ascii="宋体" w:hAnsi="宋体" w:cs="宋体"/>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evenAndOddHeaders w:val="1"/>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xZjBjNTE5ODZiYWNjOWQwMTcxNTBjNmQ2YzU3YjIifQ=="/>
  </w:docVars>
  <w:rsids>
    <w:rsidRoot w:val="00000000"/>
    <w:rsid w:val="01780A56"/>
    <w:rsid w:val="01BD06D2"/>
    <w:rsid w:val="01F848E6"/>
    <w:rsid w:val="02252077"/>
    <w:rsid w:val="0361667C"/>
    <w:rsid w:val="03C434BA"/>
    <w:rsid w:val="0A9A561C"/>
    <w:rsid w:val="0B2B2D99"/>
    <w:rsid w:val="0BD33FB3"/>
    <w:rsid w:val="0CBD14CF"/>
    <w:rsid w:val="0D525967"/>
    <w:rsid w:val="0DFB44F5"/>
    <w:rsid w:val="0E5A1AC5"/>
    <w:rsid w:val="0FBD610E"/>
    <w:rsid w:val="100C6C20"/>
    <w:rsid w:val="114F1210"/>
    <w:rsid w:val="1970517C"/>
    <w:rsid w:val="1ACF704F"/>
    <w:rsid w:val="1CBF0826"/>
    <w:rsid w:val="1E4D5F74"/>
    <w:rsid w:val="20A20446"/>
    <w:rsid w:val="238953AD"/>
    <w:rsid w:val="23A61C00"/>
    <w:rsid w:val="243A26A6"/>
    <w:rsid w:val="243C73D9"/>
    <w:rsid w:val="27B011AD"/>
    <w:rsid w:val="2A52398D"/>
    <w:rsid w:val="2A7E41CB"/>
    <w:rsid w:val="2B72732B"/>
    <w:rsid w:val="2D847318"/>
    <w:rsid w:val="2FAA5340"/>
    <w:rsid w:val="2FDE659E"/>
    <w:rsid w:val="30DA6D8B"/>
    <w:rsid w:val="321C0699"/>
    <w:rsid w:val="32C77BEE"/>
    <w:rsid w:val="32E4042B"/>
    <w:rsid w:val="35ED04F1"/>
    <w:rsid w:val="364605B0"/>
    <w:rsid w:val="37F038D0"/>
    <w:rsid w:val="38225C6F"/>
    <w:rsid w:val="3B1B5E2E"/>
    <w:rsid w:val="3B507E82"/>
    <w:rsid w:val="3BF31361"/>
    <w:rsid w:val="3DB5191E"/>
    <w:rsid w:val="3DD41E02"/>
    <w:rsid w:val="3F5E5646"/>
    <w:rsid w:val="401E2B5D"/>
    <w:rsid w:val="42967C11"/>
    <w:rsid w:val="42FE110A"/>
    <w:rsid w:val="45D77C9A"/>
    <w:rsid w:val="4715439F"/>
    <w:rsid w:val="4BE5677D"/>
    <w:rsid w:val="4D806987"/>
    <w:rsid w:val="505F1058"/>
    <w:rsid w:val="518808FD"/>
    <w:rsid w:val="52221C27"/>
    <w:rsid w:val="524F4BBA"/>
    <w:rsid w:val="53BD2813"/>
    <w:rsid w:val="543E4854"/>
    <w:rsid w:val="55395A94"/>
    <w:rsid w:val="561E78CA"/>
    <w:rsid w:val="5CED02DA"/>
    <w:rsid w:val="5DCD1013"/>
    <w:rsid w:val="5FC67344"/>
    <w:rsid w:val="61A51118"/>
    <w:rsid w:val="62665AD7"/>
    <w:rsid w:val="63173CBA"/>
    <w:rsid w:val="6795272D"/>
    <w:rsid w:val="693D0769"/>
    <w:rsid w:val="6C1D3F43"/>
    <w:rsid w:val="6DEC2A36"/>
    <w:rsid w:val="711E47D4"/>
    <w:rsid w:val="714A5F46"/>
    <w:rsid w:val="76490202"/>
    <w:rsid w:val="79A7095B"/>
    <w:rsid w:val="7A4F302A"/>
    <w:rsid w:val="7CEF19E4"/>
    <w:rsid w:val="7DA2278E"/>
    <w:rsid w:val="7DBC1D6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150" w:beforeLines="150" w:beforeAutospacing="0" w:after="150" w:afterLines="150" w:afterAutospacing="0" w:line="360" w:lineRule="auto"/>
      <w:jc w:val="center"/>
      <w:outlineLvl w:val="0"/>
    </w:pPr>
    <w:rPr>
      <w:rFonts w:eastAsia="黑体"/>
      <w:kern w:val="44"/>
      <w:sz w:val="36"/>
    </w:rPr>
  </w:style>
  <w:style w:type="paragraph" w:styleId="2">
    <w:name w:val="heading 2"/>
    <w:basedOn w:val="1"/>
    <w:next w:val="1"/>
    <w:unhideWhenUsed/>
    <w:qFormat/>
    <w:uiPriority w:val="9"/>
    <w:pPr>
      <w:keepNext/>
      <w:keepLines/>
      <w:spacing w:line="560" w:lineRule="exact"/>
      <w:outlineLvl w:val="1"/>
    </w:pPr>
    <w:rPr>
      <w:rFonts w:ascii="Cambria" w:hAnsi="Cambria" w:eastAsia="Adobe 黑体 Std R"/>
      <w:bCs/>
      <w:sz w:val="32"/>
      <w:szCs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font41"/>
    <w:basedOn w:val="8"/>
    <w:qFormat/>
    <w:uiPriority w:val="0"/>
    <w:rPr>
      <w:rFonts w:hint="default" w:ascii="Times New Roman" w:hAnsi="Times New Roman" w:cs="Times New Roman"/>
      <w:color w:val="000000"/>
      <w:sz w:val="24"/>
      <w:szCs w:val="24"/>
      <w:u w:val="none"/>
    </w:rPr>
  </w:style>
  <w:style w:type="character" w:customStyle="1" w:styleId="10">
    <w:name w:val="font11"/>
    <w:basedOn w:val="8"/>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2412</Words>
  <Characters>2605</Characters>
  <Lines>0</Lines>
  <Paragraphs>0</Paragraphs>
  <TotalTime>13</TotalTime>
  <ScaleCrop>false</ScaleCrop>
  <LinksUpToDate>false</LinksUpToDate>
  <CharactersWithSpaces>2734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2021-01-14T05:55:00Z</dcterms:created>
  <dc:creator>mayn</dc:creator>
  <cp:lastModifiedBy>李怡娇</cp:lastModifiedBy>
  <cp:lastPrinted>2021-06-01T06:05:00Z</cp:lastPrinted>
  <dcterms:modified xsi:type="dcterms:W3CDTF">2022-11-10T07:39:13Z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D67BDFC375914A7B8D4E887CB70CBA1C</vt:lpwstr>
  </property>
</Properties>
</file>